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23A5E"/>
          <w:sz w:val="36"/>
        </w:rPr>
        <w:t>Digicane Systems LLP</w:t>
      </w:r>
    </w:p>
    <w:p/>
    <w:p/>
    <w:p/>
    <w:p>
      <w:r>
        <w:rPr>
          <w:b/>
          <w:i w:val="0"/>
          <w:color w:val="B8860B"/>
          <w:sz w:val="20"/>
        </w:rPr>
        <w:t>END USER GUIDE</w:t>
      </w:r>
    </w:p>
    <w:p>
      <w:pPr>
        <w:spacing w:after="160"/>
      </w:pPr>
      <w:r>
        <w:rPr>
          <w:b/>
          <w:i w:val="0"/>
          <w:color w:val="123A5E"/>
          <w:sz w:val="52"/>
        </w:rPr>
        <w:t>Procurement Intelligence — End User Guide</w:t>
      </w:r>
    </w:p>
    <w:p>
      <w:pPr>
        <w:pBdr>
          <w:bottom w:val="single" w:sz="18" w:space="4" w:color="B8860B"/>
        </w:pBdr>
      </w:pPr>
      <w:r>
        <w:rPr>
          <w:b w:val="0"/>
          <w:i w:val="0"/>
          <w:color w:val="5A6B7D"/>
          <w:sz w:val="26"/>
        </w:rPr>
        <w:t>Trial and demonstration access for web and mobile</w:t>
      </w:r>
    </w:p>
    <w:p/>
    <w:p/>
    <w:p/>
    <w:p/>
    <w:p/>
    <w:p/>
    <w:tbl>
      <w:tblPr>
        <w:tblW w:type="auto" w:w="0"/>
        <w:jc w:val="left"/>
        <w:tblLook w:firstColumn="1" w:firstRow="1" w:lastColumn="0" w:lastRow="0" w:noHBand="0" w:noVBand="1" w:val="04A0"/>
      </w:tblPr>
      <w:tblGrid>
        <w:gridCol w:w="4986"/>
        <w:gridCol w:w="4986"/>
      </w:tblGrid>
      <w:tr>
        <w:tc>
          <w:tcPr>
            <w:tcW w:type="dxa" w:w="4986"/>
          </w:tcPr>
          <w:p>
            <w:r>
              <w:rPr>
                <w:b w:val="0"/>
                <w:i w:val="0"/>
                <w:color w:val="5A6B7D"/>
                <w:sz w:val="17"/>
              </w:rPr>
              <w:t>PREPARED FOR</w:t>
            </w:r>
          </w:p>
        </w:tc>
        <w:tc>
          <w:tcPr>
            <w:tcW w:type="dxa" w:w="4986"/>
          </w:tcPr>
          <w:p>
            <w:r>
              <w:rPr>
                <w:b/>
                <w:i w:val="0"/>
                <w:sz w:val="20"/>
              </w:rPr>
              <w:t>Enterprise Client (India)</w:t>
            </w:r>
          </w:p>
        </w:tc>
      </w:tr>
      <w:tr>
        <w:tc>
          <w:tcPr>
            <w:tcW w:type="dxa" w:w="4986"/>
          </w:tcPr>
          <w:p>
            <w:r>
              <w:rPr>
                <w:b w:val="0"/>
                <w:i w:val="0"/>
                <w:color w:val="5A6B7D"/>
                <w:sz w:val="17"/>
              </w:rPr>
              <w:t>PREPARED BY</w:t>
            </w:r>
          </w:p>
        </w:tc>
        <w:tc>
          <w:tcPr>
            <w:tcW w:type="dxa" w:w="4986"/>
          </w:tcPr>
          <w:p>
            <w:r>
              <w:rPr>
                <w:b/>
                <w:i w:val="0"/>
                <w:sz w:val="20"/>
              </w:rPr>
              <w:t>Digicane Systems LLP</w:t>
            </w:r>
          </w:p>
        </w:tc>
      </w:tr>
      <w:tr>
        <w:tc>
          <w:tcPr>
            <w:tcW w:type="dxa" w:w="4986"/>
          </w:tcPr>
          <w:p>
            <w:r>
              <w:rPr>
                <w:b w:val="0"/>
                <w:i w:val="0"/>
                <w:color w:val="5A6B7D"/>
                <w:sz w:val="17"/>
              </w:rPr>
              <w:t>VERSION</w:t>
            </w:r>
          </w:p>
        </w:tc>
        <w:tc>
          <w:tcPr>
            <w:tcW w:type="dxa" w:w="4986"/>
          </w:tcPr>
          <w:p>
            <w:r>
              <w:rPr>
                <w:b/>
                <w:i w:val="0"/>
                <w:sz w:val="20"/>
              </w:rPr>
              <w:t>1.0</w:t>
            </w:r>
          </w:p>
        </w:tc>
      </w:tr>
      <w:tr>
        <w:tc>
          <w:tcPr>
            <w:tcW w:type="dxa" w:w="4986"/>
          </w:tcPr>
          <w:p>
            <w:r>
              <w:rPr>
                <w:b w:val="0"/>
                <w:i w:val="0"/>
                <w:color w:val="5A6B7D"/>
                <w:sz w:val="17"/>
              </w:rPr>
              <w:t>DATE</w:t>
            </w:r>
          </w:p>
        </w:tc>
        <w:tc>
          <w:tcPr>
            <w:tcW w:type="dxa" w:w="4986"/>
          </w:tcPr>
          <w:p>
            <w:r>
              <w:rPr>
                <w:b/>
                <w:i w:val="0"/>
                <w:sz w:val="20"/>
              </w:rPr>
              <w:t>3 August 2026</w:t>
            </w:r>
          </w:p>
        </w:tc>
      </w:tr>
    </w:tbl>
    <w:p>
      <w:r>
        <w:rPr>
          <w:b w:val="0"/>
          <w:i/>
          <w:color w:val="5A6B7D"/>
          <w:sz w:val="17"/>
        </w:rPr>
        <w:t>Contains demonstration credentials — for evaluation use only</w:t>
      </w:r>
    </w:p>
    <w:p>
      <w:r>
        <w:br w:type="page"/>
      </w:r>
    </w:p>
    <w:p>
      <w:pPr>
        <w:pBdr>
          <w:bottom w:val="single" w:sz="12" w:space="4" w:color="B8860B"/>
        </w:pBdr>
      </w:pPr>
      <w:r>
        <w:rPr>
          <w:b/>
          <w:i w:val="0"/>
          <w:color w:val="123A5E"/>
          <w:sz w:val="32"/>
        </w:rPr>
        <w:t>Contents</w:t>
      </w:r>
    </w:p>
    <w:p>
      <w:pPr>
        <w:pStyle w:val="ListNumber"/>
        <w:spacing w:after="60"/>
      </w:pPr>
      <w:r>
        <w:rPr>
          <w:b w:val="0"/>
          <w:i w:val="0"/>
        </w:rPr>
        <w:t>1. Before You Start</w:t>
      </w:r>
    </w:p>
    <w:p>
      <w:pPr>
        <w:pStyle w:val="ListNumber"/>
        <w:spacing w:after="60"/>
      </w:pPr>
      <w:r>
        <w:rPr>
          <w:b w:val="0"/>
          <w:i w:val="0"/>
        </w:rPr>
        <w:t>2. Getting In</w:t>
      </w:r>
    </w:p>
    <w:p>
      <w:pPr>
        <w:pStyle w:val="ListNumber"/>
        <w:spacing w:after="60"/>
      </w:pPr>
      <w:r>
        <w:rPr>
          <w:b w:val="0"/>
          <w:i w:val="0"/>
        </w:rPr>
        <w:t>3. Trial Accounts</w:t>
      </w:r>
    </w:p>
    <w:p>
      <w:pPr>
        <w:pStyle w:val="ListNumber"/>
        <w:spacing w:after="60"/>
      </w:pPr>
      <w:r>
        <w:rPr>
          <w:b w:val="0"/>
          <w:i w:val="0"/>
        </w:rPr>
        <w:t>4. Finding Your Way Around</w:t>
      </w:r>
    </w:p>
    <w:p>
      <w:pPr>
        <w:pStyle w:val="ListNumber"/>
        <w:spacing w:after="60"/>
      </w:pPr>
      <w:r>
        <w:rPr>
          <w:b w:val="0"/>
          <w:i w:val="0"/>
        </w:rPr>
        <w:t>5. The Features</w:t>
      </w:r>
    </w:p>
    <w:p>
      <w:pPr>
        <w:pStyle w:val="ListNumber"/>
        <w:spacing w:after="60"/>
      </w:pPr>
      <w:r>
        <w:rPr>
          <w:b w:val="0"/>
          <w:i w:val="0"/>
        </w:rPr>
        <w:t>6. Asking the AI Copilot</w:t>
      </w:r>
    </w:p>
    <w:p>
      <w:pPr>
        <w:pStyle w:val="ListNumber"/>
        <w:spacing w:after="60"/>
      </w:pPr>
      <w:r>
        <w:rPr>
          <w:b w:val="0"/>
          <w:i w:val="0"/>
        </w:rPr>
        <w:t>7. On Your Phone</w:t>
      </w:r>
    </w:p>
    <w:p>
      <w:pPr>
        <w:pStyle w:val="ListNumber"/>
        <w:spacing w:after="60"/>
      </w:pPr>
      <w:r>
        <w:rPr>
          <w:b w:val="0"/>
          <w:i w:val="0"/>
        </w:rPr>
        <w:t>8. If Something Looks Wrong</w:t>
      </w:r>
    </w:p>
    <w:p>
      <w:pPr>
        <w:pStyle w:val="ListNumber"/>
        <w:spacing w:after="60"/>
      </w:pPr>
      <w:r>
        <w:rPr>
          <w:b w:val="0"/>
          <w:i w:val="0"/>
        </w:rPr>
        <w:t>9. Moving Beyond the Trial</w:t>
      </w:r>
    </w:p>
    <w:p>
      <w:r>
        <w:br w:type="page"/>
      </w:r>
    </w:p>
    <w:p>
      <w:r>
        <w:br w:type="page"/>
      </w:r>
    </w:p>
    <w:p>
      <w:pPr>
        <w:keepNext/>
        <w:pBdr>
          <w:bottom w:val="single" w:sz="12" w:space="4" w:color="B8860B"/>
        </w:pBdr>
        <w:spacing w:before="80" w:after="160"/>
      </w:pPr>
      <w:r>
        <w:rPr>
          <w:b/>
          <w:i w:val="0"/>
          <w:color w:val="123A5E"/>
          <w:sz w:val="32"/>
        </w:rPr>
        <w:t>1. Before You Start</w:t>
      </w:r>
    </w:p>
    <w:p>
      <w:r>
        <w:rPr>
          <w:b w:val="0"/>
          <w:i w:val="0"/>
        </w:rPr>
        <w:t>This guide is for the people evaluating the Procurement Intelligence platform. It covers how to sign in on a browser and on a phone, what every screen does, and what to try first. No training or setup is needed — the trial environment is already loaded with a full set of procurement data.</w:t>
      </w:r>
    </w:p>
    <w:p>
      <w:r>
        <w:rPr>
          <w:b/>
          <w:i w:val="0"/>
        </w:rPr>
        <w:t>What you are looking at.</w:t>
      </w:r>
      <w:r>
        <w:rPr>
          <w:b w:val="0"/>
          <w:i w:val="0"/>
        </w:rPr>
        <w:t xml:space="preserve"> The platform reads purchase orders, contracts, suppliers, materials and inventory out of SAP ECC or SAP S/4HANA and turns them into spend analytics, supplier scorecards, demand forecasts, automatic alerts and a question-and-answer copilot. In the trial the SAP data is synthetic but realistic: several years of orders across multiple company codes, plants, categories and suppliers, with the same shape and volume as a live system.</w:t>
      </w:r>
    </w:p>
    <w:p>
      <w:r>
        <w:rPr>
          <w:b/>
          <w:i w:val="0"/>
        </w:rPr>
        <w:t>How long a look takes.</w:t>
      </w:r>
      <w:r>
        <w:rPr>
          <w:b w:val="0"/>
          <w:i w:val="0"/>
        </w:rPr>
        <w:t xml:space="preserve"> Ten minutes gets you around the dashboard and the copilot. An hour covers everything in section 5.</w:t>
      </w:r>
    </w:p>
    <w:p>
      <w:pPr>
        <w:pBdr>
          <w:bottom w:val="single" w:sz="4" w:space="4" w:color="D4DBE3"/>
        </w:pBdr>
        <w:ind w:left="454"/>
      </w:pPr>
      <w:r>
        <w:rPr>
          <w:b/>
          <w:i/>
          <w:color w:val="123A5E"/>
        </w:rPr>
        <w:t>Please treat the accounts in section 3 as public.</w:t>
      </w:r>
      <w:r>
        <w:rPr>
          <w:b w:val="0"/>
          <w:i/>
          <w:color w:val="123A5E"/>
        </w:rPr>
        <w:t xml:space="preserve"> They exist only for this trial. They are not suitable for real procurement data and should be removed before the platform is put into production use.</w:t>
      </w:r>
    </w:p>
    <w:p>
      <w:r>
        <w:br w:type="page"/>
      </w:r>
    </w:p>
    <w:p>
      <w:pPr>
        <w:keepNext/>
        <w:pBdr>
          <w:bottom w:val="single" w:sz="12" w:space="4" w:color="B8860B"/>
        </w:pBdr>
        <w:spacing w:before="80" w:after="160"/>
      </w:pPr>
      <w:r>
        <w:rPr>
          <w:b/>
          <w:i w:val="0"/>
          <w:color w:val="123A5E"/>
          <w:sz w:val="32"/>
        </w:rPr>
        <w:t>2. Getting In</w:t>
      </w:r>
    </w:p>
    <w:p>
      <w:pPr>
        <w:keepNext/>
        <w:spacing w:before="240" w:after="80"/>
      </w:pPr>
      <w:r>
        <w:rPr>
          <w:b/>
          <w:i w:val="0"/>
          <w:color w:val="2F6EA5"/>
          <w:sz w:val="25"/>
        </w:rPr>
        <w:t>On a computer</w:t>
      </w:r>
    </w:p>
    <w:p>
      <w:r>
        <w:rPr>
          <w:b w:val="0"/>
          <w:i w:val="0"/>
        </w:rPr>
        <w:t>Open the address below in any modern browser — Chrome, Edge, Safari or Firefox. Nothing needs installing.</w:t>
      </w:r>
    </w:p>
    <w:tbl>
      <w:tblPr>
        <w:tblStyle w:val="TableGrid"/>
        <w:tblW w:type="auto" w:w="0"/>
        <w:jc w:val="center"/>
        <w:tblLook w:firstColumn="1" w:firstRow="1" w:lastColumn="0" w:lastRow="0" w:noHBand="0" w:noVBand="1" w:val="04A0"/>
      </w:tblPr>
      <w:tblGrid>
        <w:gridCol w:w="4986"/>
        <w:gridCol w:w="4986"/>
      </w:tblGrid>
      <w:tr>
        <w:tc>
          <w:tcPr>
            <w:tcW w:type="dxa" w:w="4986"/>
            <w:shd w:val="clear" w:color="auto" w:fill="123A5E"/>
          </w:tcPr>
          <w:p>
            <w:pPr>
              <w:jc w:val="left"/>
            </w:pPr>
            <w:r>
              <w:rPr>
                <w:b/>
                <w:i w:val="0"/>
                <w:color w:val="FFFFFF"/>
                <w:sz w:val="19"/>
              </w:rPr>
              <w:t>Environment</w:t>
            </w:r>
          </w:p>
        </w:tc>
        <w:tc>
          <w:tcPr>
            <w:tcW w:type="dxa" w:w="4986"/>
            <w:shd w:val="clear" w:color="auto" w:fill="123A5E"/>
          </w:tcPr>
          <w:p>
            <w:pPr>
              <w:jc w:val="left"/>
            </w:pPr>
            <w:r>
              <w:rPr>
                <w:b/>
                <w:i w:val="0"/>
                <w:color w:val="FFFFFF"/>
                <w:sz w:val="19"/>
              </w:rPr>
              <w:t>Address</w:t>
            </w:r>
          </w:p>
        </w:tc>
      </w:tr>
      <w:tr>
        <w:tc>
          <w:tcPr>
            <w:tcW w:type="dxa" w:w="4986"/>
          </w:tcPr>
          <w:p>
            <w:pPr>
              <w:jc w:val="left"/>
            </w:pPr>
            <w:r>
              <w:rPr>
                <w:b w:val="0"/>
                <w:i w:val="0"/>
                <w:sz w:val="19"/>
              </w:rPr>
              <w:t>Trial / demonstration</w:t>
            </w:r>
          </w:p>
        </w:tc>
        <w:tc>
          <w:tcPr>
            <w:tcW w:type="dxa" w:w="4986"/>
          </w:tcPr>
          <w:p>
            <w:pPr>
              <w:jc w:val="left"/>
            </w:pPr>
            <w:r>
              <w:rPr>
                <w:b w:val="0"/>
                <w:i w:val="0"/>
                <w:sz w:val="19"/>
              </w:rPr>
              <w:t>https://app-production-cb563.up.railway.app</w:t>
            </w:r>
          </w:p>
        </w:tc>
      </w:tr>
      <w:tr>
        <w:tc>
          <w:tcPr>
            <w:tcW w:type="dxa" w:w="4986"/>
            <w:shd w:val="clear" w:color="auto" w:fill="F2F5F8"/>
          </w:tcPr>
          <w:p>
            <w:pPr>
              <w:jc w:val="left"/>
            </w:pPr>
            <w:r>
              <w:rPr>
                <w:b w:val="0"/>
                <w:i w:val="0"/>
                <w:sz w:val="19"/>
              </w:rPr>
              <w:t>Local Docker Compose</w:t>
            </w:r>
          </w:p>
        </w:tc>
        <w:tc>
          <w:tcPr>
            <w:tcW w:type="dxa" w:w="4986"/>
            <w:shd w:val="clear" w:color="auto" w:fill="F2F5F8"/>
          </w:tcPr>
          <w:p>
            <w:pPr>
              <w:jc w:val="left"/>
            </w:pPr>
            <w:r>
              <w:rPr>
                <w:b w:val="0"/>
                <w:i w:val="0"/>
                <w:sz w:val="19"/>
              </w:rPr>
              <w:t>http://localhost:8000</w:t>
            </w:r>
          </w:p>
        </w:tc>
      </w:tr>
      <w:tr>
        <w:tc>
          <w:tcPr>
            <w:tcW w:type="dxa" w:w="4986"/>
          </w:tcPr>
          <w:p>
            <w:pPr>
              <w:jc w:val="left"/>
            </w:pPr>
            <w:r>
              <w:rPr>
                <w:b w:val="0"/>
                <w:i w:val="0"/>
                <w:sz w:val="19"/>
              </w:rPr>
              <w:t>Local development server</w:t>
            </w:r>
          </w:p>
        </w:tc>
        <w:tc>
          <w:tcPr>
            <w:tcW w:type="dxa" w:w="4986"/>
          </w:tcPr>
          <w:p>
            <w:pPr>
              <w:jc w:val="left"/>
            </w:pPr>
            <w:r>
              <w:rPr>
                <w:b w:val="0"/>
                <w:i w:val="0"/>
                <w:sz w:val="19"/>
              </w:rPr>
              <w:t>http://localhost:3000</w:t>
            </w:r>
          </w:p>
        </w:tc>
      </w:tr>
    </w:tbl>
    <w:p>
      <w:pPr>
        <w:spacing w:after="40"/>
      </w:pPr>
    </w:p>
    <w:p>
      <w:r>
        <w:rPr>
          <w:b w:val="0"/>
          <w:i w:val="0"/>
        </w:rPr>
        <w:t xml:space="preserve">The login screen lists the trial accounts under </w:t>
      </w:r>
      <w:r>
        <w:rPr>
          <w:b/>
          <w:i w:val="0"/>
        </w:rPr>
        <w:t>Evaluation accounts</w:t>
      </w:r>
      <w:r>
        <w:rPr>
          <w:b w:val="0"/>
          <w:i w:val="0"/>
        </w:rPr>
        <w:t>. Clicking a name signs you straight in, so in practice you never need to type a password.</w:t>
      </w:r>
    </w:p>
    <w:p>
      <w:pPr>
        <w:keepNext/>
        <w:spacing w:before="240" w:after="80"/>
      </w:pPr>
      <w:r>
        <w:rPr>
          <w:b/>
          <w:i w:val="0"/>
          <w:color w:val="2F6EA5"/>
          <w:sz w:val="25"/>
        </w:rPr>
        <w:t>On a phone or tablet</w:t>
      </w:r>
    </w:p>
    <w:p>
      <w:r>
        <w:rPr>
          <w:b w:val="0"/>
          <w:i w:val="0"/>
        </w:rPr>
        <w:t>The Android and iOS apps are the same platform in a native wrapper. They connect to the same trial environment and show the same data, so you can sign in on both at once.</w:t>
      </w:r>
    </w:p>
    <w:tbl>
      <w:tblPr>
        <w:tblStyle w:val="TableGrid"/>
        <w:tblW w:type="auto" w:w="0"/>
        <w:jc w:val="center"/>
        <w:tblLook w:firstColumn="1" w:firstRow="1" w:lastColumn="0" w:lastRow="0" w:noHBand="0" w:noVBand="1" w:val="04A0"/>
      </w:tblPr>
      <w:tblGrid>
        <w:gridCol w:w="3324"/>
        <w:gridCol w:w="3324"/>
        <w:gridCol w:w="3324"/>
      </w:tblGrid>
      <w:tr>
        <w:tc>
          <w:tcPr>
            <w:tcW w:type="dxa" w:w="3324"/>
            <w:shd w:val="clear" w:color="auto" w:fill="123A5E"/>
          </w:tcPr>
          <w:p>
            <w:pPr>
              <w:jc w:val="left"/>
            </w:pPr>
            <w:r>
              <w:rPr>
                <w:b/>
                <w:i w:val="0"/>
                <w:color w:val="FFFFFF"/>
                <w:sz w:val="19"/>
              </w:rPr>
              <w:t>Platform</w:t>
            </w:r>
          </w:p>
        </w:tc>
        <w:tc>
          <w:tcPr>
            <w:tcW w:type="dxa" w:w="3324"/>
            <w:shd w:val="clear" w:color="auto" w:fill="123A5E"/>
          </w:tcPr>
          <w:p>
            <w:pPr>
              <w:jc w:val="left"/>
            </w:pPr>
            <w:r>
              <w:rPr>
                <w:b/>
                <w:i w:val="0"/>
                <w:color w:val="FFFFFF"/>
                <w:sz w:val="19"/>
              </w:rPr>
              <w:t>How you get it</w:t>
            </w:r>
          </w:p>
        </w:tc>
        <w:tc>
          <w:tcPr>
            <w:tcW w:type="dxa" w:w="3324"/>
            <w:shd w:val="clear" w:color="auto" w:fill="123A5E"/>
          </w:tcPr>
          <w:p>
            <w:pPr>
              <w:jc w:val="left"/>
            </w:pPr>
            <w:r>
              <w:rPr>
                <w:b/>
                <w:i w:val="0"/>
                <w:color w:val="FFFFFF"/>
                <w:sz w:val="19"/>
              </w:rPr>
              <w:t>Requirement</w:t>
            </w:r>
          </w:p>
        </w:tc>
      </w:tr>
      <w:tr>
        <w:tc>
          <w:tcPr>
            <w:tcW w:type="dxa" w:w="3324"/>
          </w:tcPr>
          <w:p>
            <w:pPr>
              <w:jc w:val="left"/>
            </w:pPr>
            <w:r>
              <w:rPr>
                <w:b w:val="0"/>
                <w:i w:val="0"/>
                <w:sz w:val="19"/>
              </w:rPr>
              <w:t>Android</w:t>
            </w:r>
          </w:p>
        </w:tc>
        <w:tc>
          <w:tcPr>
            <w:tcW w:type="dxa" w:w="3324"/>
          </w:tcPr>
          <w:p>
            <w:pPr>
              <w:jc w:val="left"/>
            </w:pPr>
            <w:r>
              <w:rPr>
                <w:b w:val="0"/>
                <w:i w:val="0"/>
                <w:sz w:val="19"/>
              </w:rPr>
              <w:t>Install the APK file supplied with this guide</w:t>
            </w:r>
          </w:p>
        </w:tc>
        <w:tc>
          <w:tcPr>
            <w:tcW w:type="dxa" w:w="3324"/>
          </w:tcPr>
          <w:p>
            <w:pPr>
              <w:jc w:val="left"/>
            </w:pPr>
            <w:r>
              <w:rPr>
                <w:b w:val="0"/>
                <w:i w:val="0"/>
                <w:sz w:val="19"/>
              </w:rPr>
              <w:t>Android 7.0 or newer</w:t>
            </w:r>
          </w:p>
        </w:tc>
      </w:tr>
      <w:tr>
        <w:tc>
          <w:tcPr>
            <w:tcW w:type="dxa" w:w="3324"/>
            <w:shd w:val="clear" w:color="auto" w:fill="F2F5F8"/>
          </w:tcPr>
          <w:p>
            <w:pPr>
              <w:jc w:val="left"/>
            </w:pPr>
            <w:r>
              <w:rPr>
                <w:b w:val="0"/>
                <w:i w:val="0"/>
                <w:sz w:val="19"/>
              </w:rPr>
              <w:t>iPhone / iPad</w:t>
            </w:r>
          </w:p>
        </w:tc>
        <w:tc>
          <w:tcPr>
            <w:tcW w:type="dxa" w:w="3324"/>
            <w:shd w:val="clear" w:color="auto" w:fill="F2F5F8"/>
          </w:tcPr>
          <w:p>
            <w:pPr>
              <w:jc w:val="left"/>
            </w:pPr>
            <w:r>
              <w:rPr>
                <w:b w:val="0"/>
                <w:i w:val="0"/>
                <w:sz w:val="19"/>
              </w:rPr>
              <w:t>Accept the TestFlight invitation emailed to you</w:t>
            </w:r>
          </w:p>
        </w:tc>
        <w:tc>
          <w:tcPr>
            <w:tcW w:type="dxa" w:w="3324"/>
            <w:shd w:val="clear" w:color="auto" w:fill="F2F5F8"/>
          </w:tcPr>
          <w:p>
            <w:pPr>
              <w:jc w:val="left"/>
            </w:pPr>
            <w:r>
              <w:rPr>
                <w:b w:val="0"/>
                <w:i w:val="0"/>
                <w:sz w:val="19"/>
              </w:rPr>
              <w:t>iOS 14 or newer, TestFlight app</w:t>
            </w:r>
          </w:p>
        </w:tc>
      </w:tr>
    </w:tbl>
    <w:p>
      <w:pPr>
        <w:spacing w:after="40"/>
      </w:pPr>
    </w:p>
    <w:p>
      <w:r>
        <w:rPr>
          <w:b w:val="0"/>
          <w:i w:val="0"/>
        </w:rPr>
        <w:t xml:space="preserve">On Android you may need to allow installation from your browser or file manager the first time, since the app is distributed directly rather than through the Play Store. Open the APK, tap </w:t>
      </w:r>
      <w:r>
        <w:rPr>
          <w:b/>
          <w:i w:val="0"/>
        </w:rPr>
        <w:t>Install</w:t>
      </w:r>
      <w:r>
        <w:rPr>
          <w:b w:val="0"/>
          <w:i w:val="0"/>
        </w:rPr>
        <w:t xml:space="preserve">, then </w:t>
      </w:r>
      <w:r>
        <w:rPr>
          <w:b/>
          <w:i w:val="0"/>
        </w:rPr>
        <w:t>Open</w:t>
      </w:r>
      <w:r>
        <w:rPr>
          <w:b w:val="0"/>
          <w:i w:val="0"/>
        </w:rPr>
        <w:t>.</w:t>
      </w:r>
    </w:p>
    <w:p>
      <w:r>
        <w:rPr>
          <w:b w:val="0"/>
          <w:i w:val="0"/>
        </w:rPr>
        <w:t>Once installed the app already knows which server to use — there is nothing to configure. Sign in with any account from section 3.</w:t>
      </w:r>
    </w:p>
    <w:p>
      <w:pPr>
        <w:keepNext/>
        <w:spacing w:before="240" w:after="80"/>
      </w:pPr>
      <w:r>
        <w:rPr>
          <w:b/>
          <w:i w:val="0"/>
          <w:color w:val="2F6EA5"/>
          <w:sz w:val="25"/>
        </w:rPr>
        <w:t>Staying signed in</w:t>
      </w:r>
    </w:p>
    <w:p>
      <w:r>
        <w:rPr>
          <w:b w:val="0"/>
          <w:i w:val="0"/>
        </w:rPr>
        <w:t>A session lasts 12 hours on the web. The phone apps quietly renew the session every time you open them, so you stay signed in between visits and only see the login screen if you sign out deliberately.</w:t>
      </w:r>
    </w:p>
    <w:p>
      <w:r>
        <w:br w:type="page"/>
      </w:r>
    </w:p>
    <w:p>
      <w:pPr>
        <w:keepNext/>
        <w:pBdr>
          <w:bottom w:val="single" w:sz="12" w:space="4" w:color="B8860B"/>
        </w:pBdr>
        <w:spacing w:before="80" w:after="160"/>
      </w:pPr>
      <w:r>
        <w:rPr>
          <w:b/>
          <w:i w:val="0"/>
          <w:color w:val="123A5E"/>
          <w:sz w:val="32"/>
        </w:rPr>
        <w:t>3. Trial Accounts</w:t>
      </w:r>
    </w:p>
    <w:p>
      <w:r>
        <w:rPr>
          <w:b w:val="0"/>
          <w:i w:val="0"/>
        </w:rPr>
        <w:t xml:space="preserve">Six accounts are provided, one for each role, so you can see how the platform changes shape depending on who is looking at it. </w:t>
      </w:r>
      <w:r>
        <w:rPr>
          <w:b/>
          <w:i w:val="0"/>
        </w:rPr>
        <w:t>All of them are safe to share within your evaluation team.</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493"/>
            <w:shd w:val="clear" w:color="auto" w:fill="123A5E"/>
          </w:tcPr>
          <w:p>
            <w:pPr>
              <w:jc w:val="left"/>
            </w:pPr>
            <w:r>
              <w:rPr>
                <w:b/>
                <w:i w:val="0"/>
                <w:color w:val="FFFFFF"/>
                <w:sz w:val="19"/>
              </w:rPr>
              <w:t>Role</w:t>
            </w:r>
          </w:p>
        </w:tc>
        <w:tc>
          <w:tcPr>
            <w:tcW w:type="dxa" w:w="2493"/>
            <w:shd w:val="clear" w:color="auto" w:fill="123A5E"/>
          </w:tcPr>
          <w:p>
            <w:pPr>
              <w:jc w:val="left"/>
            </w:pPr>
            <w:r>
              <w:rPr>
                <w:b/>
                <w:i w:val="0"/>
                <w:color w:val="FFFFFF"/>
                <w:sz w:val="19"/>
              </w:rPr>
              <w:t>Email</w:t>
            </w:r>
          </w:p>
        </w:tc>
        <w:tc>
          <w:tcPr>
            <w:tcW w:type="dxa" w:w="2493"/>
            <w:shd w:val="clear" w:color="auto" w:fill="123A5E"/>
          </w:tcPr>
          <w:p>
            <w:pPr>
              <w:jc w:val="left"/>
            </w:pPr>
            <w:r>
              <w:rPr>
                <w:b/>
                <w:i w:val="0"/>
                <w:color w:val="FFFFFF"/>
                <w:sz w:val="19"/>
              </w:rPr>
              <w:t>Password</w:t>
            </w:r>
          </w:p>
        </w:tc>
        <w:tc>
          <w:tcPr>
            <w:tcW w:type="dxa" w:w="2493"/>
            <w:shd w:val="clear" w:color="auto" w:fill="123A5E"/>
          </w:tcPr>
          <w:p>
            <w:pPr>
              <w:jc w:val="left"/>
            </w:pPr>
            <w:r>
              <w:rPr>
                <w:b/>
                <w:i w:val="0"/>
                <w:color w:val="FFFFFF"/>
                <w:sz w:val="19"/>
              </w:rPr>
              <w:t>Use it to see</w:t>
            </w:r>
          </w:p>
        </w:tc>
      </w:tr>
      <w:tr>
        <w:tc>
          <w:tcPr>
            <w:tcW w:type="dxa" w:w="2493"/>
          </w:tcPr>
          <w:p>
            <w:pPr>
              <w:jc w:val="left"/>
            </w:pPr>
            <w:r>
              <w:rPr>
                <w:b w:val="0"/>
                <w:i w:val="0"/>
                <w:sz w:val="19"/>
              </w:rPr>
              <w:t>Administrator</w:t>
            </w:r>
          </w:p>
        </w:tc>
        <w:tc>
          <w:tcPr>
            <w:tcW w:type="dxa" w:w="2493"/>
          </w:tcPr>
          <w:p>
            <w:pPr>
              <w:jc w:val="left"/>
            </w:pPr>
            <w:r>
              <w:rPr>
                <w:b w:val="0"/>
                <w:i w:val="0"/>
                <w:sz w:val="19"/>
              </w:rPr>
              <w:t>admin@digicane.com</w:t>
            </w:r>
          </w:p>
        </w:tc>
        <w:tc>
          <w:tcPr>
            <w:tcW w:type="dxa" w:w="2493"/>
          </w:tcPr>
          <w:p>
            <w:pPr>
              <w:jc w:val="left"/>
            </w:pPr>
            <w:r>
              <w:rPr>
                <w:b w:val="0"/>
                <w:i w:val="0"/>
                <w:sz w:val="19"/>
              </w:rPr>
              <w:t>admin123</w:t>
            </w:r>
          </w:p>
        </w:tc>
        <w:tc>
          <w:tcPr>
            <w:tcW w:type="dxa" w:w="2493"/>
          </w:tcPr>
          <w:p>
            <w:pPr>
              <w:jc w:val="left"/>
            </w:pPr>
            <w:r>
              <w:rPr>
                <w:b w:val="0"/>
                <w:i w:val="0"/>
                <w:sz w:val="19"/>
              </w:rPr>
              <w:t>Everything, including SAP connectors and the audit trail</w:t>
            </w:r>
          </w:p>
        </w:tc>
      </w:tr>
      <w:tr>
        <w:tc>
          <w:tcPr>
            <w:tcW w:type="dxa" w:w="2493"/>
            <w:shd w:val="clear" w:color="auto" w:fill="F2F5F8"/>
          </w:tcPr>
          <w:p>
            <w:pPr>
              <w:jc w:val="left"/>
            </w:pPr>
            <w:r>
              <w:rPr>
                <w:b w:val="0"/>
                <w:i w:val="0"/>
                <w:sz w:val="19"/>
              </w:rPr>
              <w:t>Executive</w:t>
            </w:r>
          </w:p>
        </w:tc>
        <w:tc>
          <w:tcPr>
            <w:tcW w:type="dxa" w:w="2493"/>
            <w:shd w:val="clear" w:color="auto" w:fill="F2F5F8"/>
          </w:tcPr>
          <w:p>
            <w:pPr>
              <w:jc w:val="left"/>
            </w:pPr>
            <w:r>
              <w:rPr>
                <w:b w:val="0"/>
                <w:i w:val="0"/>
                <w:sz w:val="19"/>
              </w:rPr>
              <w:t>ceo@client.com</w:t>
            </w:r>
          </w:p>
        </w:tc>
        <w:tc>
          <w:tcPr>
            <w:tcW w:type="dxa" w:w="2493"/>
            <w:shd w:val="clear" w:color="auto" w:fill="F2F5F8"/>
          </w:tcPr>
          <w:p>
            <w:pPr>
              <w:jc w:val="left"/>
            </w:pPr>
            <w:r>
              <w:rPr>
                <w:b w:val="0"/>
                <w:i w:val="0"/>
                <w:sz w:val="19"/>
              </w:rPr>
              <w:t>demo1234</w:t>
            </w:r>
          </w:p>
        </w:tc>
        <w:tc>
          <w:tcPr>
            <w:tcW w:type="dxa" w:w="2493"/>
            <w:shd w:val="clear" w:color="auto" w:fill="F2F5F8"/>
          </w:tcPr>
          <w:p>
            <w:pPr>
              <w:jc w:val="left"/>
            </w:pPr>
            <w:r>
              <w:rPr>
                <w:b w:val="0"/>
                <w:i w:val="0"/>
                <w:sz w:val="19"/>
              </w:rPr>
              <w:t>The CXO view: headline numbers, no administration</w:t>
            </w:r>
          </w:p>
        </w:tc>
      </w:tr>
      <w:tr>
        <w:tc>
          <w:tcPr>
            <w:tcW w:type="dxa" w:w="2493"/>
          </w:tcPr>
          <w:p>
            <w:pPr>
              <w:jc w:val="left"/>
            </w:pPr>
            <w:r>
              <w:rPr>
                <w:b w:val="0"/>
                <w:i w:val="0"/>
                <w:sz w:val="19"/>
              </w:rPr>
              <w:t>Procurement Head</w:t>
            </w:r>
          </w:p>
        </w:tc>
        <w:tc>
          <w:tcPr>
            <w:tcW w:type="dxa" w:w="2493"/>
          </w:tcPr>
          <w:p>
            <w:pPr>
              <w:jc w:val="left"/>
            </w:pPr>
            <w:r>
              <w:rPr>
                <w:b w:val="0"/>
                <w:i w:val="0"/>
                <w:sz w:val="19"/>
              </w:rPr>
              <w:t>procurement@client.com</w:t>
            </w:r>
          </w:p>
        </w:tc>
        <w:tc>
          <w:tcPr>
            <w:tcW w:type="dxa" w:w="2493"/>
          </w:tcPr>
          <w:p>
            <w:pPr>
              <w:jc w:val="left"/>
            </w:pPr>
            <w:r>
              <w:rPr>
                <w:b w:val="0"/>
                <w:i w:val="0"/>
                <w:sz w:val="19"/>
              </w:rPr>
              <w:t>demo1234</w:t>
            </w:r>
          </w:p>
        </w:tc>
        <w:tc>
          <w:tcPr>
            <w:tcW w:type="dxa" w:w="2493"/>
          </w:tcPr>
          <w:p>
            <w:pPr>
              <w:jc w:val="left"/>
            </w:pPr>
            <w:r>
              <w:rPr>
                <w:b w:val="0"/>
                <w:i w:val="0"/>
                <w:sz w:val="19"/>
              </w:rPr>
              <w:t>The owner's view: can acknowledge alerts and trigger SAP loads</w:t>
            </w:r>
          </w:p>
        </w:tc>
      </w:tr>
      <w:tr>
        <w:tc>
          <w:tcPr>
            <w:tcW w:type="dxa" w:w="2493"/>
            <w:shd w:val="clear" w:color="auto" w:fill="F2F5F8"/>
          </w:tcPr>
          <w:p>
            <w:pPr>
              <w:jc w:val="left"/>
            </w:pPr>
            <w:r>
              <w:rPr>
                <w:b w:val="0"/>
                <w:i w:val="0"/>
                <w:sz w:val="19"/>
              </w:rPr>
              <w:t>Purchase Manager</w:t>
            </w:r>
          </w:p>
        </w:tc>
        <w:tc>
          <w:tcPr>
            <w:tcW w:type="dxa" w:w="2493"/>
            <w:shd w:val="clear" w:color="auto" w:fill="F2F5F8"/>
          </w:tcPr>
          <w:p>
            <w:pPr>
              <w:jc w:val="left"/>
            </w:pPr>
            <w:r>
              <w:rPr>
                <w:b w:val="0"/>
                <w:i w:val="0"/>
                <w:sz w:val="19"/>
              </w:rPr>
              <w:t>buyer@client.com</w:t>
            </w:r>
          </w:p>
        </w:tc>
        <w:tc>
          <w:tcPr>
            <w:tcW w:type="dxa" w:w="2493"/>
            <w:shd w:val="clear" w:color="auto" w:fill="F2F5F8"/>
          </w:tcPr>
          <w:p>
            <w:pPr>
              <w:jc w:val="left"/>
            </w:pPr>
            <w:r>
              <w:rPr>
                <w:b w:val="0"/>
                <w:i w:val="0"/>
                <w:sz w:val="19"/>
              </w:rPr>
              <w:t>demo1234</w:t>
            </w:r>
          </w:p>
        </w:tc>
        <w:tc>
          <w:tcPr>
            <w:tcW w:type="dxa" w:w="2493"/>
            <w:shd w:val="clear" w:color="auto" w:fill="F2F5F8"/>
          </w:tcPr>
          <w:p>
            <w:pPr>
              <w:jc w:val="left"/>
            </w:pPr>
            <w:r>
              <w:rPr>
                <w:b w:val="0"/>
                <w:i w:val="0"/>
                <w:sz w:val="19"/>
              </w:rPr>
              <w:t>The day-to-day buyer's read-only view</w:t>
            </w:r>
          </w:p>
        </w:tc>
      </w:tr>
      <w:tr>
        <w:tc>
          <w:tcPr>
            <w:tcW w:type="dxa" w:w="2493"/>
          </w:tcPr>
          <w:p>
            <w:pPr>
              <w:jc w:val="left"/>
            </w:pPr>
            <w:r>
              <w:rPr>
                <w:b w:val="0"/>
                <w:i w:val="0"/>
                <w:sz w:val="19"/>
              </w:rPr>
              <w:t>Finance Controller</w:t>
            </w:r>
          </w:p>
        </w:tc>
        <w:tc>
          <w:tcPr>
            <w:tcW w:type="dxa" w:w="2493"/>
          </w:tcPr>
          <w:p>
            <w:pPr>
              <w:jc w:val="left"/>
            </w:pPr>
            <w:r>
              <w:rPr>
                <w:b w:val="0"/>
                <w:i w:val="0"/>
                <w:sz w:val="19"/>
              </w:rPr>
              <w:t>finance@client.com</w:t>
            </w:r>
          </w:p>
        </w:tc>
        <w:tc>
          <w:tcPr>
            <w:tcW w:type="dxa" w:w="2493"/>
          </w:tcPr>
          <w:p>
            <w:pPr>
              <w:jc w:val="left"/>
            </w:pPr>
            <w:r>
              <w:rPr>
                <w:b w:val="0"/>
                <w:i w:val="0"/>
                <w:sz w:val="19"/>
              </w:rPr>
              <w:t>demo1234</w:t>
            </w:r>
          </w:p>
        </w:tc>
        <w:tc>
          <w:tcPr>
            <w:tcW w:type="dxa" w:w="2493"/>
          </w:tcPr>
          <w:p>
            <w:pPr>
              <w:jc w:val="left"/>
            </w:pPr>
            <w:r>
              <w:rPr>
                <w:b w:val="0"/>
                <w:i w:val="0"/>
                <w:sz w:val="19"/>
              </w:rPr>
              <w:t>Budget and cost focus, without forecasting</w:t>
            </w:r>
          </w:p>
        </w:tc>
      </w:tr>
      <w:tr>
        <w:tc>
          <w:tcPr>
            <w:tcW w:type="dxa" w:w="2493"/>
            <w:shd w:val="clear" w:color="auto" w:fill="F2F5F8"/>
          </w:tcPr>
          <w:p>
            <w:pPr>
              <w:jc w:val="left"/>
            </w:pPr>
            <w:r>
              <w:rPr>
                <w:b w:val="0"/>
                <w:i w:val="0"/>
                <w:sz w:val="19"/>
              </w:rPr>
              <w:t>Supply Chain Lead</w:t>
            </w:r>
          </w:p>
        </w:tc>
        <w:tc>
          <w:tcPr>
            <w:tcW w:type="dxa" w:w="2493"/>
            <w:shd w:val="clear" w:color="auto" w:fill="F2F5F8"/>
          </w:tcPr>
          <w:p>
            <w:pPr>
              <w:jc w:val="left"/>
            </w:pPr>
            <w:r>
              <w:rPr>
                <w:b w:val="0"/>
                <w:i w:val="0"/>
                <w:sz w:val="19"/>
              </w:rPr>
              <w:t>supplychain@client.com</w:t>
            </w:r>
          </w:p>
        </w:tc>
        <w:tc>
          <w:tcPr>
            <w:tcW w:type="dxa" w:w="2493"/>
            <w:shd w:val="clear" w:color="auto" w:fill="F2F5F8"/>
          </w:tcPr>
          <w:p>
            <w:pPr>
              <w:jc w:val="left"/>
            </w:pPr>
            <w:r>
              <w:rPr>
                <w:b w:val="0"/>
                <w:i w:val="0"/>
                <w:sz w:val="19"/>
              </w:rPr>
              <w:t>demo1234</w:t>
            </w:r>
          </w:p>
        </w:tc>
        <w:tc>
          <w:tcPr>
            <w:tcW w:type="dxa" w:w="2493"/>
            <w:shd w:val="clear" w:color="auto" w:fill="F2F5F8"/>
          </w:tcPr>
          <w:p>
            <w:pPr>
              <w:jc w:val="left"/>
            </w:pPr>
            <w:r>
              <w:rPr>
                <w:b w:val="0"/>
                <w:i w:val="0"/>
                <w:sz w:val="19"/>
              </w:rPr>
              <w:t>Demand, stock and replenishment focus</w:t>
            </w:r>
          </w:p>
        </w:tc>
      </w:tr>
    </w:tbl>
    <w:p>
      <w:pPr>
        <w:spacing w:after="40"/>
      </w:pPr>
    </w:p>
    <w:p>
      <w:r>
        <w:rPr>
          <w:b/>
          <w:i w:val="0"/>
        </w:rPr>
        <w:t>Where to start.</w:t>
      </w:r>
      <w:r>
        <w:rPr>
          <w:b w:val="0"/>
          <w:i w:val="0"/>
        </w:rPr>
        <w:t xml:space="preserve"> Sign in as the </w:t>
      </w:r>
      <w:r>
        <w:rPr>
          <w:b/>
          <w:i w:val="0"/>
        </w:rPr>
        <w:t>Executive</w:t>
      </w:r>
      <w:r>
        <w:rPr>
          <w:b w:val="0"/>
          <w:i w:val="0"/>
        </w:rPr>
        <w:t xml:space="preserve"> first for the intended board-level experience, then as the </w:t>
      </w:r>
      <w:r>
        <w:rPr>
          <w:b/>
          <w:i w:val="0"/>
        </w:rPr>
        <w:t>Administrator</w:t>
      </w:r>
      <w:r>
        <w:rPr>
          <w:b w:val="0"/>
          <w:i w:val="0"/>
        </w:rPr>
        <w:t xml:space="preserve"> to see the machinery underneath. Comparing the two shows the permission model better than any description.</w:t>
      </w:r>
    </w:p>
    <w:p>
      <w:pPr>
        <w:keepNext/>
        <w:spacing w:before="240" w:after="80"/>
      </w:pPr>
      <w:r>
        <w:rPr>
          <w:b/>
          <w:i w:val="0"/>
          <w:color w:val="2F6EA5"/>
          <w:sz w:val="25"/>
        </w:rPr>
        <w:t>What each role can open</w:t>
      </w:r>
    </w:p>
    <w:p>
      <w:r>
        <w:rPr>
          <w:b w:val="0"/>
          <w:i w:val="0"/>
        </w:rPr>
        <w:t>The menu is built from your permissions, so you are never shown a page you cannot use. This is the same model that would apply to your own users.</w:t>
      </w:r>
    </w:p>
    <w:tbl>
      <w:tblPr>
        <w:tblStyle w:val="TableGrid"/>
        <w:tblW w:type="auto" w:w="0"/>
        <w:jc w:val="center"/>
        <w:tblLook w:firstColumn="1" w:firstRow="1" w:lastColumn="0" w:lastRow="0" w:noHBand="0" w:noVBand="1" w:val="04A0"/>
      </w:tblPr>
      <w:tblGrid>
        <w:gridCol w:w="1425"/>
        <w:gridCol w:w="1425"/>
        <w:gridCol w:w="1425"/>
        <w:gridCol w:w="1425"/>
        <w:gridCol w:w="1425"/>
        <w:gridCol w:w="1425"/>
        <w:gridCol w:w="1425"/>
      </w:tblGrid>
      <w:tr>
        <w:tc>
          <w:tcPr>
            <w:tcW w:type="dxa" w:w="1425"/>
            <w:shd w:val="clear" w:color="auto" w:fill="123A5E"/>
          </w:tcPr>
          <w:p>
            <w:pPr>
              <w:jc w:val="left"/>
            </w:pPr>
            <w:r>
              <w:rPr>
                <w:b/>
                <w:i w:val="0"/>
                <w:color w:val="FFFFFF"/>
                <w:sz w:val="19"/>
              </w:rPr>
              <w:t>Page</w:t>
            </w:r>
          </w:p>
        </w:tc>
        <w:tc>
          <w:tcPr>
            <w:tcW w:type="dxa" w:w="1425"/>
            <w:shd w:val="clear" w:color="auto" w:fill="123A5E"/>
          </w:tcPr>
          <w:p>
            <w:pPr>
              <w:jc w:val="center"/>
            </w:pPr>
            <w:r>
              <w:rPr>
                <w:b/>
                <w:i w:val="0"/>
                <w:color w:val="FFFFFF"/>
                <w:sz w:val="19"/>
              </w:rPr>
              <w:t>Admin</w:t>
            </w:r>
          </w:p>
        </w:tc>
        <w:tc>
          <w:tcPr>
            <w:tcW w:type="dxa" w:w="1425"/>
            <w:shd w:val="clear" w:color="auto" w:fill="123A5E"/>
          </w:tcPr>
          <w:p>
            <w:pPr>
              <w:jc w:val="center"/>
            </w:pPr>
            <w:r>
              <w:rPr>
                <w:b/>
                <w:i w:val="0"/>
                <w:color w:val="FFFFFF"/>
                <w:sz w:val="19"/>
              </w:rPr>
              <w:t>Executive</w:t>
            </w:r>
          </w:p>
        </w:tc>
        <w:tc>
          <w:tcPr>
            <w:tcW w:type="dxa" w:w="1425"/>
            <w:shd w:val="clear" w:color="auto" w:fill="123A5E"/>
          </w:tcPr>
          <w:p>
            <w:pPr>
              <w:jc w:val="center"/>
            </w:pPr>
            <w:r>
              <w:rPr>
                <w:b/>
                <w:i w:val="0"/>
                <w:color w:val="FFFFFF"/>
                <w:sz w:val="19"/>
              </w:rPr>
              <w:t>Procurement Head</w:t>
            </w:r>
          </w:p>
        </w:tc>
        <w:tc>
          <w:tcPr>
            <w:tcW w:type="dxa" w:w="1425"/>
            <w:shd w:val="clear" w:color="auto" w:fill="123A5E"/>
          </w:tcPr>
          <w:p>
            <w:pPr>
              <w:jc w:val="center"/>
            </w:pPr>
            <w:r>
              <w:rPr>
                <w:b/>
                <w:i w:val="0"/>
                <w:color w:val="FFFFFF"/>
                <w:sz w:val="19"/>
              </w:rPr>
              <w:t>Purchase Manager</w:t>
            </w:r>
          </w:p>
        </w:tc>
        <w:tc>
          <w:tcPr>
            <w:tcW w:type="dxa" w:w="1425"/>
            <w:shd w:val="clear" w:color="auto" w:fill="123A5E"/>
          </w:tcPr>
          <w:p>
            <w:pPr>
              <w:jc w:val="center"/>
            </w:pPr>
            <w:r>
              <w:rPr>
                <w:b/>
                <w:i w:val="0"/>
                <w:color w:val="FFFFFF"/>
                <w:sz w:val="19"/>
              </w:rPr>
              <w:t>Finance</w:t>
            </w:r>
          </w:p>
        </w:tc>
        <w:tc>
          <w:tcPr>
            <w:tcW w:type="dxa" w:w="1425"/>
            <w:shd w:val="clear" w:color="auto" w:fill="123A5E"/>
          </w:tcPr>
          <w:p>
            <w:pPr>
              <w:jc w:val="center"/>
            </w:pPr>
            <w:r>
              <w:rPr>
                <w:b/>
                <w:i w:val="0"/>
                <w:color w:val="FFFFFF"/>
                <w:sz w:val="19"/>
              </w:rPr>
              <w:t>Supply Chain</w:t>
            </w:r>
          </w:p>
        </w:tc>
      </w:tr>
      <w:tr>
        <w:tc>
          <w:tcPr>
            <w:tcW w:type="dxa" w:w="1425"/>
          </w:tcPr>
          <w:p>
            <w:pPr>
              <w:jc w:val="left"/>
            </w:pPr>
            <w:r>
              <w:rPr>
                <w:b w:val="0"/>
                <w:i w:val="0"/>
                <w:sz w:val="19"/>
              </w:rPr>
              <w:t>Executive Dashboard</w:t>
            </w:r>
          </w:p>
        </w:tc>
        <w:tc>
          <w:tcPr>
            <w:tcW w:type="dxa" w:w="1425"/>
          </w:tcPr>
          <w:p>
            <w:pPr>
              <w:jc w:val="center"/>
            </w:pPr>
            <w:r>
              <w:rPr>
                <w:b w:val="0"/>
                <w:i w:val="0"/>
                <w:sz w:val="19"/>
              </w:rPr>
              <w:t>Yes</w:t>
            </w:r>
          </w:p>
        </w:tc>
        <w:tc>
          <w:tcPr>
            <w:tcW w:type="dxa" w:w="1425"/>
          </w:tcPr>
          <w:p>
            <w:pPr>
              <w:jc w:val="center"/>
            </w:pPr>
            <w:r>
              <w:rPr>
                <w:b w:val="0"/>
                <w:i w:val="0"/>
                <w:sz w:val="19"/>
              </w:rPr>
              <w:t>Yes</w:t>
            </w:r>
          </w:p>
        </w:tc>
        <w:tc>
          <w:tcPr>
            <w:tcW w:type="dxa" w:w="1425"/>
          </w:tcPr>
          <w:p>
            <w:pPr>
              <w:jc w:val="center"/>
            </w:pPr>
            <w:r>
              <w:rPr>
                <w:b w:val="0"/>
                <w:i w:val="0"/>
                <w:sz w:val="19"/>
              </w:rPr>
              <w:t>Yes</w:t>
            </w:r>
          </w:p>
        </w:tc>
        <w:tc>
          <w:tcPr>
            <w:tcW w:type="dxa" w:w="1425"/>
          </w:tcPr>
          <w:p>
            <w:pPr>
              <w:jc w:val="center"/>
            </w:pPr>
            <w:r>
              <w:rPr>
                <w:b w:val="0"/>
                <w:i w:val="0"/>
                <w:sz w:val="19"/>
              </w:rPr>
              <w:t>Yes</w:t>
            </w:r>
          </w:p>
        </w:tc>
        <w:tc>
          <w:tcPr>
            <w:tcW w:type="dxa" w:w="1425"/>
          </w:tcPr>
          <w:p>
            <w:pPr>
              <w:jc w:val="center"/>
            </w:pPr>
            <w:r>
              <w:rPr>
                <w:b w:val="0"/>
                <w:i w:val="0"/>
                <w:sz w:val="19"/>
              </w:rPr>
              <w:t>Yes</w:t>
            </w:r>
          </w:p>
        </w:tc>
        <w:tc>
          <w:tcPr>
            <w:tcW w:type="dxa" w:w="1425"/>
          </w:tcPr>
          <w:p>
            <w:pPr>
              <w:jc w:val="center"/>
            </w:pPr>
            <w:r>
              <w:rPr>
                <w:b w:val="0"/>
                <w:i w:val="0"/>
                <w:sz w:val="19"/>
              </w:rPr>
              <w:t>Yes</w:t>
            </w:r>
          </w:p>
        </w:tc>
      </w:tr>
      <w:tr>
        <w:tc>
          <w:tcPr>
            <w:tcW w:type="dxa" w:w="1425"/>
            <w:shd w:val="clear" w:color="auto" w:fill="F2F5F8"/>
          </w:tcPr>
          <w:p>
            <w:pPr>
              <w:jc w:val="left"/>
            </w:pPr>
            <w:r>
              <w:rPr>
                <w:b w:val="0"/>
                <w:i w:val="0"/>
                <w:sz w:val="19"/>
              </w:rPr>
              <w:t>Spend Analytics</w:t>
            </w:r>
          </w:p>
        </w:tc>
        <w:tc>
          <w:tcPr>
            <w:tcW w:type="dxa" w:w="1425"/>
            <w:shd w:val="clear" w:color="auto" w:fill="F2F5F8"/>
          </w:tcPr>
          <w:p>
            <w:pPr>
              <w:jc w:val="center"/>
            </w:pPr>
            <w:r>
              <w:rPr>
                <w:b w:val="0"/>
                <w:i w:val="0"/>
                <w:sz w:val="19"/>
              </w:rPr>
              <w:t>Yes</w:t>
            </w:r>
          </w:p>
        </w:tc>
        <w:tc>
          <w:tcPr>
            <w:tcW w:type="dxa" w:w="1425"/>
            <w:shd w:val="clear" w:color="auto" w:fill="F2F5F8"/>
          </w:tcPr>
          <w:p>
            <w:pPr>
              <w:jc w:val="center"/>
            </w:pPr>
            <w:r>
              <w:rPr>
                <w:b w:val="0"/>
                <w:i w:val="0"/>
                <w:sz w:val="19"/>
              </w:rPr>
              <w:t>Yes</w:t>
            </w:r>
          </w:p>
        </w:tc>
        <w:tc>
          <w:tcPr>
            <w:tcW w:type="dxa" w:w="1425"/>
            <w:shd w:val="clear" w:color="auto" w:fill="F2F5F8"/>
          </w:tcPr>
          <w:p>
            <w:pPr>
              <w:jc w:val="center"/>
            </w:pPr>
            <w:r>
              <w:rPr>
                <w:b w:val="0"/>
                <w:i w:val="0"/>
                <w:sz w:val="19"/>
              </w:rPr>
              <w:t>Yes</w:t>
            </w:r>
          </w:p>
        </w:tc>
        <w:tc>
          <w:tcPr>
            <w:tcW w:type="dxa" w:w="1425"/>
            <w:shd w:val="clear" w:color="auto" w:fill="F2F5F8"/>
          </w:tcPr>
          <w:p>
            <w:pPr>
              <w:jc w:val="center"/>
            </w:pPr>
            <w:r>
              <w:rPr>
                <w:b w:val="0"/>
                <w:i w:val="0"/>
                <w:sz w:val="19"/>
              </w:rPr>
              <w:t>Yes</w:t>
            </w:r>
          </w:p>
        </w:tc>
        <w:tc>
          <w:tcPr>
            <w:tcW w:type="dxa" w:w="1425"/>
            <w:shd w:val="clear" w:color="auto" w:fill="F2F5F8"/>
          </w:tcPr>
          <w:p>
            <w:pPr>
              <w:jc w:val="center"/>
            </w:pPr>
            <w:r>
              <w:rPr>
                <w:b w:val="0"/>
                <w:i w:val="0"/>
                <w:sz w:val="19"/>
              </w:rPr>
              <w:t>Yes</w:t>
            </w:r>
          </w:p>
        </w:tc>
        <w:tc>
          <w:tcPr>
            <w:tcW w:type="dxa" w:w="1425"/>
            <w:shd w:val="clear" w:color="auto" w:fill="F2F5F8"/>
          </w:tcPr>
          <w:p>
            <w:pPr>
              <w:jc w:val="center"/>
            </w:pPr>
            <w:r>
              <w:rPr>
                <w:b w:val="0"/>
                <w:i w:val="0"/>
                <w:sz w:val="19"/>
              </w:rPr>
              <w:t>Yes</w:t>
            </w:r>
          </w:p>
        </w:tc>
      </w:tr>
      <w:tr>
        <w:tc>
          <w:tcPr>
            <w:tcW w:type="dxa" w:w="1425"/>
          </w:tcPr>
          <w:p>
            <w:pPr>
              <w:jc w:val="left"/>
            </w:pPr>
            <w:r>
              <w:rPr>
                <w:b w:val="0"/>
                <w:i w:val="0"/>
                <w:sz w:val="19"/>
              </w:rPr>
              <w:t>Suppliers</w:t>
            </w:r>
          </w:p>
        </w:tc>
        <w:tc>
          <w:tcPr>
            <w:tcW w:type="dxa" w:w="1425"/>
          </w:tcPr>
          <w:p>
            <w:pPr>
              <w:jc w:val="center"/>
            </w:pPr>
            <w:r>
              <w:rPr>
                <w:b w:val="0"/>
                <w:i w:val="0"/>
                <w:sz w:val="19"/>
              </w:rPr>
              <w:t>Yes</w:t>
            </w:r>
          </w:p>
        </w:tc>
        <w:tc>
          <w:tcPr>
            <w:tcW w:type="dxa" w:w="1425"/>
          </w:tcPr>
          <w:p>
            <w:pPr>
              <w:jc w:val="center"/>
            </w:pPr>
            <w:r>
              <w:rPr>
                <w:b w:val="0"/>
                <w:i w:val="0"/>
                <w:sz w:val="19"/>
              </w:rPr>
              <w:t>Yes</w:t>
            </w:r>
          </w:p>
        </w:tc>
        <w:tc>
          <w:tcPr>
            <w:tcW w:type="dxa" w:w="1425"/>
          </w:tcPr>
          <w:p>
            <w:pPr>
              <w:jc w:val="center"/>
            </w:pPr>
            <w:r>
              <w:rPr>
                <w:b w:val="0"/>
                <w:i w:val="0"/>
                <w:sz w:val="19"/>
              </w:rPr>
              <w:t>Yes</w:t>
            </w:r>
          </w:p>
        </w:tc>
        <w:tc>
          <w:tcPr>
            <w:tcW w:type="dxa" w:w="1425"/>
          </w:tcPr>
          <w:p>
            <w:pPr>
              <w:jc w:val="center"/>
            </w:pPr>
            <w:r>
              <w:rPr>
                <w:b w:val="0"/>
                <w:i w:val="0"/>
                <w:sz w:val="19"/>
              </w:rPr>
              <w:t>Yes</w:t>
            </w:r>
          </w:p>
        </w:tc>
        <w:tc>
          <w:tcPr>
            <w:tcW w:type="dxa" w:w="1425"/>
          </w:tcPr>
          <w:p>
            <w:pPr>
              <w:jc w:val="center"/>
            </w:pPr>
            <w:r>
              <w:rPr>
                <w:b w:val="0"/>
                <w:i w:val="0"/>
                <w:sz w:val="19"/>
              </w:rPr>
              <w:t>Yes</w:t>
            </w:r>
          </w:p>
        </w:tc>
        <w:tc>
          <w:tcPr>
            <w:tcW w:type="dxa" w:w="1425"/>
          </w:tcPr>
          <w:p>
            <w:pPr>
              <w:jc w:val="center"/>
            </w:pPr>
            <w:r>
              <w:rPr>
                <w:b w:val="0"/>
                <w:i w:val="0"/>
                <w:sz w:val="19"/>
              </w:rPr>
              <w:t>Yes</w:t>
            </w:r>
          </w:p>
        </w:tc>
      </w:tr>
      <w:tr>
        <w:tc>
          <w:tcPr>
            <w:tcW w:type="dxa" w:w="1425"/>
            <w:shd w:val="clear" w:color="auto" w:fill="F2F5F8"/>
          </w:tcPr>
          <w:p>
            <w:pPr>
              <w:jc w:val="left"/>
            </w:pPr>
            <w:r>
              <w:rPr>
                <w:b w:val="0"/>
                <w:i w:val="0"/>
                <w:sz w:val="19"/>
              </w:rPr>
              <w:t>Forecasting</w:t>
            </w:r>
          </w:p>
        </w:tc>
        <w:tc>
          <w:tcPr>
            <w:tcW w:type="dxa" w:w="1425"/>
            <w:shd w:val="clear" w:color="auto" w:fill="F2F5F8"/>
          </w:tcPr>
          <w:p>
            <w:pPr>
              <w:jc w:val="center"/>
            </w:pPr>
            <w:r>
              <w:rPr>
                <w:b w:val="0"/>
                <w:i w:val="0"/>
                <w:sz w:val="19"/>
              </w:rPr>
              <w:t>Yes</w:t>
            </w:r>
          </w:p>
        </w:tc>
        <w:tc>
          <w:tcPr>
            <w:tcW w:type="dxa" w:w="1425"/>
            <w:shd w:val="clear" w:color="auto" w:fill="F2F5F8"/>
          </w:tcPr>
          <w:p>
            <w:pPr>
              <w:jc w:val="center"/>
            </w:pPr>
            <w:r>
              <w:rPr>
                <w:b w:val="0"/>
                <w:i w:val="0"/>
                <w:sz w:val="19"/>
              </w:rPr>
              <w:t>Yes</w:t>
            </w:r>
          </w:p>
        </w:tc>
        <w:tc>
          <w:tcPr>
            <w:tcW w:type="dxa" w:w="1425"/>
            <w:shd w:val="clear" w:color="auto" w:fill="F2F5F8"/>
          </w:tcPr>
          <w:p>
            <w:pPr>
              <w:jc w:val="center"/>
            </w:pPr>
            <w:r>
              <w:rPr>
                <w:b w:val="0"/>
                <w:i w:val="0"/>
                <w:sz w:val="19"/>
              </w:rPr>
              <w:t>Yes</w:t>
            </w:r>
          </w:p>
        </w:tc>
        <w:tc>
          <w:tcPr>
            <w:tcW w:type="dxa" w:w="1425"/>
            <w:shd w:val="clear" w:color="auto" w:fill="F2F5F8"/>
          </w:tcPr>
          <w:p>
            <w:pPr>
              <w:jc w:val="center"/>
            </w:pPr>
            <w:r>
              <w:rPr>
                <w:b w:val="0"/>
                <w:i w:val="0"/>
                <w:sz w:val="19"/>
              </w:rPr>
              <w:t>Yes</w:t>
            </w:r>
          </w:p>
        </w:tc>
        <w:tc>
          <w:tcPr>
            <w:tcW w:type="dxa" w:w="1425"/>
            <w:shd w:val="clear" w:color="auto" w:fill="F2F5F8"/>
          </w:tcPr>
          <w:p>
            <w:pPr>
              <w:jc w:val="center"/>
            </w:pPr>
            <w:r>
              <w:rPr>
                <w:b w:val="0"/>
                <w:i w:val="0"/>
                <w:sz w:val="19"/>
              </w:rPr>
              <w:t>No</w:t>
            </w:r>
          </w:p>
        </w:tc>
        <w:tc>
          <w:tcPr>
            <w:tcW w:type="dxa" w:w="1425"/>
            <w:shd w:val="clear" w:color="auto" w:fill="F2F5F8"/>
          </w:tcPr>
          <w:p>
            <w:pPr>
              <w:jc w:val="center"/>
            </w:pPr>
            <w:r>
              <w:rPr>
                <w:b w:val="0"/>
                <w:i w:val="0"/>
                <w:sz w:val="19"/>
              </w:rPr>
              <w:t>Yes</w:t>
            </w:r>
          </w:p>
        </w:tc>
      </w:tr>
      <w:tr>
        <w:tc>
          <w:tcPr>
            <w:tcW w:type="dxa" w:w="1425"/>
          </w:tcPr>
          <w:p>
            <w:pPr>
              <w:jc w:val="left"/>
            </w:pPr>
            <w:r>
              <w:rPr>
                <w:b w:val="0"/>
                <w:i w:val="0"/>
                <w:sz w:val="19"/>
              </w:rPr>
              <w:t>AI Copilot</w:t>
            </w:r>
          </w:p>
        </w:tc>
        <w:tc>
          <w:tcPr>
            <w:tcW w:type="dxa" w:w="1425"/>
          </w:tcPr>
          <w:p>
            <w:pPr>
              <w:jc w:val="center"/>
            </w:pPr>
            <w:r>
              <w:rPr>
                <w:b w:val="0"/>
                <w:i w:val="0"/>
                <w:sz w:val="19"/>
              </w:rPr>
              <w:t>Yes</w:t>
            </w:r>
          </w:p>
        </w:tc>
        <w:tc>
          <w:tcPr>
            <w:tcW w:type="dxa" w:w="1425"/>
          </w:tcPr>
          <w:p>
            <w:pPr>
              <w:jc w:val="center"/>
            </w:pPr>
            <w:r>
              <w:rPr>
                <w:b w:val="0"/>
                <w:i w:val="0"/>
                <w:sz w:val="19"/>
              </w:rPr>
              <w:t>Yes</w:t>
            </w:r>
          </w:p>
        </w:tc>
        <w:tc>
          <w:tcPr>
            <w:tcW w:type="dxa" w:w="1425"/>
          </w:tcPr>
          <w:p>
            <w:pPr>
              <w:jc w:val="center"/>
            </w:pPr>
            <w:r>
              <w:rPr>
                <w:b w:val="0"/>
                <w:i w:val="0"/>
                <w:sz w:val="19"/>
              </w:rPr>
              <w:t>Yes</w:t>
            </w:r>
          </w:p>
        </w:tc>
        <w:tc>
          <w:tcPr>
            <w:tcW w:type="dxa" w:w="1425"/>
          </w:tcPr>
          <w:p>
            <w:pPr>
              <w:jc w:val="center"/>
            </w:pPr>
            <w:r>
              <w:rPr>
                <w:b w:val="0"/>
                <w:i w:val="0"/>
                <w:sz w:val="19"/>
              </w:rPr>
              <w:t>Yes</w:t>
            </w:r>
          </w:p>
        </w:tc>
        <w:tc>
          <w:tcPr>
            <w:tcW w:type="dxa" w:w="1425"/>
          </w:tcPr>
          <w:p>
            <w:pPr>
              <w:jc w:val="center"/>
            </w:pPr>
            <w:r>
              <w:rPr>
                <w:b w:val="0"/>
                <w:i w:val="0"/>
                <w:sz w:val="19"/>
              </w:rPr>
              <w:t>Yes</w:t>
            </w:r>
          </w:p>
        </w:tc>
        <w:tc>
          <w:tcPr>
            <w:tcW w:type="dxa" w:w="1425"/>
          </w:tcPr>
          <w:p>
            <w:pPr>
              <w:jc w:val="center"/>
            </w:pPr>
            <w:r>
              <w:rPr>
                <w:b w:val="0"/>
                <w:i w:val="0"/>
                <w:sz w:val="19"/>
              </w:rPr>
              <w:t>Yes</w:t>
            </w:r>
          </w:p>
        </w:tc>
      </w:tr>
      <w:tr>
        <w:tc>
          <w:tcPr>
            <w:tcW w:type="dxa" w:w="1425"/>
            <w:shd w:val="clear" w:color="auto" w:fill="F2F5F8"/>
          </w:tcPr>
          <w:p>
            <w:pPr>
              <w:jc w:val="left"/>
            </w:pPr>
            <w:r>
              <w:rPr>
                <w:b w:val="0"/>
                <w:i w:val="0"/>
                <w:sz w:val="19"/>
              </w:rPr>
              <w:t>Alerts and Insights</w:t>
            </w:r>
          </w:p>
        </w:tc>
        <w:tc>
          <w:tcPr>
            <w:tcW w:type="dxa" w:w="1425"/>
            <w:shd w:val="clear" w:color="auto" w:fill="F2F5F8"/>
          </w:tcPr>
          <w:p>
            <w:pPr>
              <w:jc w:val="center"/>
            </w:pPr>
            <w:r>
              <w:rPr>
                <w:b w:val="0"/>
                <w:i w:val="0"/>
                <w:sz w:val="19"/>
              </w:rPr>
              <w:t>Yes</w:t>
            </w:r>
          </w:p>
        </w:tc>
        <w:tc>
          <w:tcPr>
            <w:tcW w:type="dxa" w:w="1425"/>
            <w:shd w:val="clear" w:color="auto" w:fill="F2F5F8"/>
          </w:tcPr>
          <w:p>
            <w:pPr>
              <w:jc w:val="center"/>
            </w:pPr>
            <w:r>
              <w:rPr>
                <w:b w:val="0"/>
                <w:i w:val="0"/>
                <w:sz w:val="19"/>
              </w:rPr>
              <w:t>Yes</w:t>
            </w:r>
          </w:p>
        </w:tc>
        <w:tc>
          <w:tcPr>
            <w:tcW w:type="dxa" w:w="1425"/>
            <w:shd w:val="clear" w:color="auto" w:fill="F2F5F8"/>
          </w:tcPr>
          <w:p>
            <w:pPr>
              <w:jc w:val="center"/>
            </w:pPr>
            <w:r>
              <w:rPr>
                <w:b w:val="0"/>
                <w:i w:val="0"/>
                <w:sz w:val="19"/>
              </w:rPr>
              <w:t>Yes</w:t>
            </w:r>
          </w:p>
        </w:tc>
        <w:tc>
          <w:tcPr>
            <w:tcW w:type="dxa" w:w="1425"/>
            <w:shd w:val="clear" w:color="auto" w:fill="F2F5F8"/>
          </w:tcPr>
          <w:p>
            <w:pPr>
              <w:jc w:val="center"/>
            </w:pPr>
            <w:r>
              <w:rPr>
                <w:b w:val="0"/>
                <w:i w:val="0"/>
                <w:sz w:val="19"/>
              </w:rPr>
              <w:t>Yes</w:t>
            </w:r>
          </w:p>
        </w:tc>
        <w:tc>
          <w:tcPr>
            <w:tcW w:type="dxa" w:w="1425"/>
            <w:shd w:val="clear" w:color="auto" w:fill="F2F5F8"/>
          </w:tcPr>
          <w:p>
            <w:pPr>
              <w:jc w:val="center"/>
            </w:pPr>
            <w:r>
              <w:rPr>
                <w:b w:val="0"/>
                <w:i w:val="0"/>
                <w:sz w:val="19"/>
              </w:rPr>
              <w:t>Yes</w:t>
            </w:r>
          </w:p>
        </w:tc>
        <w:tc>
          <w:tcPr>
            <w:tcW w:type="dxa" w:w="1425"/>
            <w:shd w:val="clear" w:color="auto" w:fill="F2F5F8"/>
          </w:tcPr>
          <w:p>
            <w:pPr>
              <w:jc w:val="center"/>
            </w:pPr>
            <w:r>
              <w:rPr>
                <w:b w:val="0"/>
                <w:i w:val="0"/>
                <w:sz w:val="19"/>
              </w:rPr>
              <w:t>Partial</w:t>
            </w:r>
          </w:p>
        </w:tc>
      </w:tr>
      <w:tr>
        <w:tc>
          <w:tcPr>
            <w:tcW w:type="dxa" w:w="1425"/>
          </w:tcPr>
          <w:p>
            <w:pPr>
              <w:jc w:val="left"/>
            </w:pPr>
            <w:r>
              <w:rPr>
                <w:b w:val="0"/>
                <w:i w:val="0"/>
                <w:sz w:val="19"/>
              </w:rPr>
              <w:t>Reports</w:t>
            </w:r>
          </w:p>
        </w:tc>
        <w:tc>
          <w:tcPr>
            <w:tcW w:type="dxa" w:w="1425"/>
          </w:tcPr>
          <w:p>
            <w:pPr>
              <w:jc w:val="center"/>
            </w:pPr>
            <w:r>
              <w:rPr>
                <w:b w:val="0"/>
                <w:i w:val="0"/>
                <w:sz w:val="19"/>
              </w:rPr>
              <w:t>Yes</w:t>
            </w:r>
          </w:p>
        </w:tc>
        <w:tc>
          <w:tcPr>
            <w:tcW w:type="dxa" w:w="1425"/>
          </w:tcPr>
          <w:p>
            <w:pPr>
              <w:jc w:val="center"/>
            </w:pPr>
            <w:r>
              <w:rPr>
                <w:b w:val="0"/>
                <w:i w:val="0"/>
                <w:sz w:val="19"/>
              </w:rPr>
              <w:t>Yes</w:t>
            </w:r>
          </w:p>
        </w:tc>
        <w:tc>
          <w:tcPr>
            <w:tcW w:type="dxa" w:w="1425"/>
          </w:tcPr>
          <w:p>
            <w:pPr>
              <w:jc w:val="center"/>
            </w:pPr>
            <w:r>
              <w:rPr>
                <w:b w:val="0"/>
                <w:i w:val="0"/>
                <w:sz w:val="19"/>
              </w:rPr>
              <w:t>Yes</w:t>
            </w:r>
          </w:p>
        </w:tc>
        <w:tc>
          <w:tcPr>
            <w:tcW w:type="dxa" w:w="1425"/>
          </w:tcPr>
          <w:p>
            <w:pPr>
              <w:jc w:val="center"/>
            </w:pPr>
            <w:r>
              <w:rPr>
                <w:b w:val="0"/>
                <w:i w:val="0"/>
                <w:sz w:val="19"/>
              </w:rPr>
              <w:t>Yes</w:t>
            </w:r>
          </w:p>
        </w:tc>
        <w:tc>
          <w:tcPr>
            <w:tcW w:type="dxa" w:w="1425"/>
          </w:tcPr>
          <w:p>
            <w:pPr>
              <w:jc w:val="center"/>
            </w:pPr>
            <w:r>
              <w:rPr>
                <w:b w:val="0"/>
                <w:i w:val="0"/>
                <w:sz w:val="19"/>
              </w:rPr>
              <w:t>Yes</w:t>
            </w:r>
          </w:p>
        </w:tc>
        <w:tc>
          <w:tcPr>
            <w:tcW w:type="dxa" w:w="1425"/>
          </w:tcPr>
          <w:p>
            <w:pPr>
              <w:jc w:val="center"/>
            </w:pPr>
            <w:r>
              <w:rPr>
                <w:b w:val="0"/>
                <w:i w:val="0"/>
                <w:sz w:val="19"/>
              </w:rPr>
              <w:t>Yes</w:t>
            </w:r>
          </w:p>
        </w:tc>
      </w:tr>
      <w:tr>
        <w:tc>
          <w:tcPr>
            <w:tcW w:type="dxa" w:w="1425"/>
            <w:shd w:val="clear" w:color="auto" w:fill="F2F5F8"/>
          </w:tcPr>
          <w:p>
            <w:pPr>
              <w:jc w:val="left"/>
            </w:pPr>
            <w:r>
              <w:rPr>
                <w:b w:val="0"/>
                <w:i w:val="0"/>
                <w:sz w:val="19"/>
              </w:rPr>
              <w:t>Administration</w:t>
            </w:r>
          </w:p>
        </w:tc>
        <w:tc>
          <w:tcPr>
            <w:tcW w:type="dxa" w:w="1425"/>
            <w:shd w:val="clear" w:color="auto" w:fill="F2F5F8"/>
          </w:tcPr>
          <w:p>
            <w:pPr>
              <w:jc w:val="center"/>
            </w:pPr>
            <w:r>
              <w:rPr>
                <w:b w:val="0"/>
                <w:i w:val="0"/>
                <w:sz w:val="19"/>
              </w:rPr>
              <w:t>Yes</w:t>
            </w:r>
          </w:p>
        </w:tc>
        <w:tc>
          <w:tcPr>
            <w:tcW w:type="dxa" w:w="1425"/>
            <w:shd w:val="clear" w:color="auto" w:fill="F2F5F8"/>
          </w:tcPr>
          <w:p>
            <w:pPr>
              <w:jc w:val="center"/>
            </w:pPr>
            <w:r>
              <w:rPr>
                <w:b w:val="0"/>
                <w:i w:val="0"/>
                <w:sz w:val="19"/>
              </w:rPr>
              <w:t>No</w:t>
            </w:r>
          </w:p>
        </w:tc>
        <w:tc>
          <w:tcPr>
            <w:tcW w:type="dxa" w:w="1425"/>
            <w:shd w:val="clear" w:color="auto" w:fill="F2F5F8"/>
          </w:tcPr>
          <w:p>
            <w:pPr>
              <w:jc w:val="center"/>
            </w:pPr>
            <w:r>
              <w:rPr>
                <w:b w:val="0"/>
                <w:i w:val="0"/>
                <w:sz w:val="19"/>
              </w:rPr>
              <w:t>Yes</w:t>
            </w:r>
          </w:p>
        </w:tc>
        <w:tc>
          <w:tcPr>
            <w:tcW w:type="dxa" w:w="1425"/>
            <w:shd w:val="clear" w:color="auto" w:fill="F2F5F8"/>
          </w:tcPr>
          <w:p>
            <w:pPr>
              <w:jc w:val="center"/>
            </w:pPr>
            <w:r>
              <w:rPr>
                <w:b w:val="0"/>
                <w:i w:val="0"/>
                <w:sz w:val="19"/>
              </w:rPr>
              <w:t>No</w:t>
            </w:r>
          </w:p>
        </w:tc>
        <w:tc>
          <w:tcPr>
            <w:tcW w:type="dxa" w:w="1425"/>
            <w:shd w:val="clear" w:color="auto" w:fill="F2F5F8"/>
          </w:tcPr>
          <w:p>
            <w:pPr>
              <w:jc w:val="center"/>
            </w:pPr>
            <w:r>
              <w:rPr>
                <w:b w:val="0"/>
                <w:i w:val="0"/>
                <w:sz w:val="19"/>
              </w:rPr>
              <w:t>No</w:t>
            </w:r>
          </w:p>
        </w:tc>
        <w:tc>
          <w:tcPr>
            <w:tcW w:type="dxa" w:w="1425"/>
            <w:shd w:val="clear" w:color="auto" w:fill="F2F5F8"/>
          </w:tcPr>
          <w:p>
            <w:pPr>
              <w:jc w:val="center"/>
            </w:pPr>
            <w:r>
              <w:rPr>
                <w:b w:val="0"/>
                <w:i w:val="0"/>
                <w:sz w:val="19"/>
              </w:rPr>
              <w:t>No</w:t>
            </w:r>
          </w:p>
        </w:tc>
      </w:tr>
    </w:tbl>
    <w:p>
      <w:pPr>
        <w:spacing w:after="40"/>
      </w:pPr>
    </w:p>
    <w:p>
      <w:r>
        <w:rPr>
          <w:b w:val="0"/>
          <w:i w:val="0"/>
        </w:rPr>
        <w:t>Three details worth knowing while you test:</w:t>
      </w:r>
    </w:p>
    <w:p>
      <w:pPr>
        <w:pStyle w:val="ListBullet"/>
        <w:spacing w:after="40"/>
      </w:pPr>
      <w:r>
        <w:rPr>
          <w:b/>
          <w:i w:val="0"/>
        </w:rPr>
        <w:t>Acknowledging an alert</w:t>
      </w:r>
      <w:r>
        <w:rPr>
          <w:b w:val="0"/>
          <w:i w:val="0"/>
        </w:rPr>
        <w:t xml:space="preserve"> is restricted to the Administrator and Procurement</w:t>
      </w:r>
    </w:p>
    <w:p>
      <w:r>
        <w:rPr>
          <w:b w:val="0"/>
          <w:i w:val="0"/>
        </w:rPr>
        <w:t>Head. Other roles see the same alerts but cannot clear them.</w:t>
      </w:r>
    </w:p>
    <w:p>
      <w:pPr>
        <w:pStyle w:val="ListBullet"/>
        <w:spacing w:after="40"/>
      </w:pPr>
      <w:r>
        <w:rPr>
          <w:b/>
          <w:i w:val="0"/>
        </w:rPr>
        <w:t>The audit trail</w:t>
      </w:r>
      <w:r>
        <w:rPr>
          <w:b w:val="0"/>
          <w:i w:val="0"/>
        </w:rPr>
        <w:t xml:space="preserve"> is Administrator only. The Procurement Head can see system</w:t>
      </w:r>
    </w:p>
    <w:p>
      <w:r>
        <w:rPr>
          <w:b w:val="0"/>
          <w:i w:val="0"/>
        </w:rPr>
        <w:t>status and start an SAP load, but not the record of who did what.</w:t>
      </w:r>
    </w:p>
    <w:p>
      <w:pPr>
        <w:pStyle w:val="ListBullet"/>
        <w:spacing w:after="40"/>
      </w:pPr>
      <w:r>
        <w:rPr>
          <w:b/>
          <w:i w:val="0"/>
        </w:rPr>
        <w:t>Supply Chain</w:t>
      </w:r>
      <w:r>
        <w:rPr>
          <w:b w:val="0"/>
          <w:i w:val="0"/>
        </w:rPr>
        <w:t xml:space="preserve"> sees the alert list in full but not the recommendations panel</w:t>
      </w:r>
    </w:p>
    <w:p>
      <w:r>
        <w:rPr>
          <w:b w:val="0"/>
          <w:i w:val="0"/>
        </w:rPr>
        <w:t>beside it, which is why the table above says partial.</w:t>
      </w:r>
    </w:p>
    <w:p>
      <w:r>
        <w:br w:type="page"/>
      </w:r>
    </w:p>
    <w:p>
      <w:pPr>
        <w:keepNext/>
        <w:pBdr>
          <w:bottom w:val="single" w:sz="12" w:space="4" w:color="B8860B"/>
        </w:pBdr>
        <w:spacing w:before="80" w:after="160"/>
      </w:pPr>
      <w:r>
        <w:rPr>
          <w:b/>
          <w:i w:val="0"/>
          <w:color w:val="123A5E"/>
          <w:sz w:val="32"/>
        </w:rPr>
        <w:t>4. Finding Your Way Around</w:t>
      </w:r>
    </w:p>
    <w:p>
      <w:r>
        <w:rPr>
          <w:b/>
          <w:i w:val="0"/>
        </w:rPr>
        <w:t>The filter bar</w:t>
      </w:r>
      <w:r>
        <w:rPr>
          <w:b w:val="0"/>
          <w:i w:val="0"/>
        </w:rPr>
        <w:t xml:space="preserve"> runs across the top of the Dashboard, Spend, Suppliers, Forecasting and Reports pages, and everything below it obeys your selection:</w:t>
      </w:r>
    </w:p>
    <w:p>
      <w:pPr>
        <w:pStyle w:val="ListBullet"/>
        <w:spacing w:after="40"/>
      </w:pPr>
      <w:r>
        <w:rPr>
          <w:b/>
          <w:i w:val="0"/>
        </w:rPr>
        <w:t>Period</w:t>
      </w:r>
      <w:r>
        <w:rPr>
          <w:b w:val="0"/>
          <w:i w:val="0"/>
        </w:rPr>
        <w:t xml:space="preserve"> — the last 3, 6, 12, 24 or 36 months. It starts at 12.</w:t>
      </w:r>
    </w:p>
    <w:p>
      <w:pPr>
        <w:pStyle w:val="ListBullet"/>
        <w:spacing w:after="40"/>
      </w:pPr>
      <w:r>
        <w:rPr>
          <w:b/>
          <w:i w:val="0"/>
        </w:rPr>
        <w:t>Company code</w:t>
      </w:r>
      <w:r>
        <w:rPr>
          <w:b w:val="0"/>
          <w:i w:val="0"/>
        </w:rPr>
        <w:t xml:space="preserve"> — restricts everything to one legal entity.</w:t>
      </w:r>
    </w:p>
    <w:p>
      <w:pPr>
        <w:pStyle w:val="ListBullet"/>
        <w:spacing w:after="40"/>
      </w:pPr>
      <w:r>
        <w:rPr>
          <w:b/>
          <w:i w:val="0"/>
        </w:rPr>
        <w:t>Plant</w:t>
      </w:r>
      <w:r>
        <w:rPr>
          <w:b w:val="0"/>
          <w:i w:val="0"/>
        </w:rPr>
        <w:t xml:space="preserve"> — narrows further, offering only plants that belong to the company</w:t>
      </w:r>
    </w:p>
    <w:p>
      <w:r>
        <w:rPr>
          <w:b w:val="0"/>
          <w:i w:val="0"/>
        </w:rPr>
        <w:t>code you picked.</w:t>
      </w:r>
    </w:p>
    <w:p>
      <w:pPr>
        <w:pStyle w:val="ListBullet"/>
        <w:spacing w:after="40"/>
      </w:pPr>
      <w:r>
        <w:rPr>
          <w:b/>
          <w:i w:val="0"/>
        </w:rPr>
        <w:t>Category</w:t>
      </w:r>
      <w:r>
        <w:rPr>
          <w:b w:val="0"/>
          <w:i w:val="0"/>
        </w:rPr>
        <w:t xml:space="preserve"> — a single material category.</w:t>
      </w:r>
    </w:p>
    <w:p>
      <w:r>
        <w:rPr>
          <w:b w:val="0"/>
          <w:i w:val="0"/>
        </w:rPr>
        <w:t xml:space="preserve">A </w:t>
      </w:r>
      <w:r>
        <w:rPr>
          <w:b/>
          <w:i w:val="0"/>
        </w:rPr>
        <w:t>Reset</w:t>
      </w:r>
      <w:r>
        <w:rPr>
          <w:b w:val="0"/>
          <w:i w:val="0"/>
        </w:rPr>
        <w:t xml:space="preserve"> button appears as soon as you change anything, and a chip on the right tells you how current the data is, for example </w:t>
      </w:r>
      <w:r>
        <w:rPr>
          <w:rFonts w:ascii="Consolas" w:hAnsi="Consolas"/>
          <w:b w:val="0"/>
          <w:i w:val="0"/>
        </w:rPr>
        <w:t>Data to 2026-07-31</w:t>
      </w:r>
      <w:r>
        <w:rPr>
          <w:b w:val="0"/>
          <w:i w:val="0"/>
        </w:rPr>
        <w:t>.</w:t>
      </w:r>
    </w:p>
    <w:p>
      <w:r>
        <w:rPr>
          <w:b/>
          <w:i w:val="0"/>
        </w:rPr>
        <w:t>The banner under the header</w:t>
      </w:r>
      <w:r>
        <w:rPr>
          <w:b w:val="0"/>
          <w:i w:val="0"/>
        </w:rPr>
        <w:t xml:space="preserve"> reports what the data is doing. On a freshly built environment it reads "Loading procurement data from SAP" with a progress bar; the figures fill in by themselves and nothing needs reloading.</w:t>
      </w:r>
    </w:p>
    <w:p>
      <w:r>
        <w:rPr>
          <w:b/>
          <w:i w:val="0"/>
        </w:rPr>
        <w:t>Money</w:t>
      </w:r>
      <w:r>
        <w:rPr>
          <w:b w:val="0"/>
          <w:i w:val="0"/>
        </w:rPr>
        <w:t xml:space="preserve"> appears in the source currency and is abbreviated as K, L for lakh and Cr for crore.</w:t>
      </w:r>
    </w:p>
    <w:p>
      <w:r>
        <w:rPr>
          <w:b/>
          <w:i w:val="0"/>
        </w:rPr>
        <w:t>On a phone</w:t>
      </w:r>
      <w:r>
        <w:rPr>
          <w:b w:val="0"/>
          <w:i w:val="0"/>
        </w:rPr>
        <w:t xml:space="preserve"> the same pages stack into a single column and the menu moves behind the button in the top left. Nothing is removed.</w:t>
      </w:r>
    </w:p>
    <w:p>
      <w:r>
        <w:br w:type="page"/>
      </w:r>
    </w:p>
    <w:p>
      <w:pPr>
        <w:keepNext/>
        <w:pBdr>
          <w:bottom w:val="single" w:sz="12" w:space="4" w:color="B8860B"/>
        </w:pBdr>
        <w:spacing w:before="80" w:after="160"/>
      </w:pPr>
      <w:r>
        <w:rPr>
          <w:b/>
          <w:i w:val="0"/>
          <w:color w:val="123A5E"/>
          <w:sz w:val="32"/>
        </w:rPr>
        <w:t>5. The Features</w:t>
      </w:r>
    </w:p>
    <w:p>
      <w:pPr>
        <w:keepNext/>
        <w:spacing w:before="240" w:after="80"/>
      </w:pPr>
      <w:r>
        <w:rPr>
          <w:b/>
          <w:i w:val="0"/>
          <w:color w:val="2F6EA5"/>
          <w:sz w:val="25"/>
        </w:rPr>
        <w:t>Executive Dashboard</w:t>
      </w:r>
    </w:p>
    <w:p>
      <w:r>
        <w:rPr>
          <w:b w:val="0"/>
          <w:i w:val="0"/>
        </w:rPr>
        <w:t>The one-screen answer to "how are we doing". Six tiles run across the top: total spend and how it moved against the previous period, identified savings, active suppliers, contract coverage, average cycle time and open alerts. Below them sit the spend trend, the category split, the largest suppliers, and the alerts and recommendations that need attention.</w:t>
      </w:r>
    </w:p>
    <w:p>
      <w:r>
        <w:rPr>
          <w:b w:val="0"/>
          <w:i w:val="0"/>
        </w:rPr>
        <w:t>Tiles marked with a small question mark explain how the number was derived. Identified savings, for instance, is the gap between what you currently pay and the best price already achieved for the same material elsewhere in the business.</w:t>
      </w:r>
    </w:p>
    <w:p>
      <w:r>
        <w:rPr>
          <w:b w:val="0"/>
          <w:i/>
        </w:rPr>
        <w:t>Try this: switch Period to 24 months and watch every panel move together.</w:t>
      </w:r>
    </w:p>
    <w:p>
      <w:pPr>
        <w:keepNext/>
        <w:spacing w:before="240" w:after="80"/>
      </w:pPr>
      <w:r>
        <w:rPr>
          <w:b/>
          <w:i w:val="0"/>
          <w:color w:val="2F6EA5"/>
          <w:sz w:val="25"/>
        </w:rPr>
        <w:t>Spend Analytics</w:t>
      </w:r>
    </w:p>
    <w:p>
      <w:r>
        <w:rPr>
          <w:b w:val="0"/>
          <w:i w:val="0"/>
        </w:rPr>
        <w:t>The detail behind the dashboard: spend by category, supplier, plant and month; maverick spend, meaning anything bought outside an available contract; budget utilisation against plan; procurement cycle times from requisition through order to receipt; and a savings opportunities list pairing each material with the cheapest supplier who has already delivered it.</w:t>
      </w:r>
    </w:p>
    <w:p>
      <w:r>
        <w:rPr>
          <w:b w:val="0"/>
          <w:i/>
        </w:rPr>
        <w:t>Try this: open savings opportunities and sort by value. This is the list a negotiation would start from.</w:t>
      </w:r>
    </w:p>
    <w:p>
      <w:pPr>
        <w:keepNext/>
        <w:spacing w:before="240" w:after="80"/>
      </w:pPr>
      <w:r>
        <w:rPr>
          <w:b/>
          <w:i w:val="0"/>
          <w:color w:val="2F6EA5"/>
          <w:sz w:val="25"/>
        </w:rPr>
        <w:t>Suppliers</w:t>
      </w:r>
    </w:p>
    <w:p>
      <w:r>
        <w:rPr>
          <w:b w:val="0"/>
          <w:i w:val="0"/>
        </w:rPr>
        <w:t>Every supplier with a composite score out of 100 built from delivery, quality and cost performance, plus a risk band. Search by name or code, filter by risk, sort by spend or score. Selecting a supplier opens a panel with its order history, delivery reliability, price movement and the contracts it holds.</w:t>
      </w:r>
    </w:p>
    <w:p>
      <w:r>
        <w:rPr>
          <w:b w:val="0"/>
          <w:i/>
        </w:rPr>
        <w:t>Try this: filter to high risk, then open one and look at why it scored badly.</w:t>
      </w:r>
    </w:p>
    <w:p>
      <w:pPr>
        <w:keepNext/>
        <w:spacing w:before="240" w:after="80"/>
      </w:pPr>
      <w:r>
        <w:rPr>
          <w:b/>
          <w:i w:val="0"/>
          <w:color w:val="2F6EA5"/>
          <w:sz w:val="25"/>
        </w:rPr>
        <w:t>Forecasting</w:t>
      </w:r>
    </w:p>
    <w:p>
      <w:r>
        <w:rPr>
          <w:b w:val="0"/>
          <w:i w:val="0"/>
        </w:rPr>
        <w:t>A demand forecast for each material, shown with its backtest error so you can judge how much to trust it, next to the replenishment plan: stock on hand, reorder point, forecast monthly demand, lead time and any resulting shortfall. The most urgent materials sort to the top.</w:t>
      </w:r>
    </w:p>
    <w:p>
      <w:pPr>
        <w:keepNext/>
        <w:spacing w:before="240" w:after="80"/>
      </w:pPr>
      <w:r>
        <w:rPr>
          <w:b/>
          <w:i w:val="0"/>
          <w:color w:val="2F6EA5"/>
          <w:sz w:val="25"/>
        </w:rPr>
        <w:t>AI Copilot</w:t>
      </w:r>
    </w:p>
    <w:p>
      <w:r>
        <w:rPr>
          <w:b w:val="0"/>
          <w:i w:val="0"/>
        </w:rPr>
        <w:t>Plain-English questions answered from the data. See section 6.</w:t>
      </w:r>
    </w:p>
    <w:p>
      <w:pPr>
        <w:keepNext/>
        <w:spacing w:before="240" w:after="80"/>
      </w:pPr>
      <w:r>
        <w:rPr>
          <w:b/>
          <w:i w:val="0"/>
          <w:color w:val="2F6EA5"/>
          <w:sz w:val="25"/>
        </w:rPr>
        <w:t>Alerts and Insights</w:t>
      </w:r>
    </w:p>
    <w:p>
      <w:r>
        <w:rPr>
          <w:b w:val="0"/>
          <w:i w:val="0"/>
        </w:rPr>
        <w:t>Open alerts by severity — critical, high, medium and low — each carrying the reason it was raised and the entity it concerns. Filter by severity, and show or hide the ones already acknowledged. Beside them, the insight engine's ranked recommendations with a value attached to each.</w:t>
      </w:r>
    </w:p>
    <w:p>
      <w:r>
        <w:rPr>
          <w:b w:val="0"/>
          <w:i w:val="0"/>
        </w:rPr>
        <w:t>Five rules raise alerts: high-risk suppliers, persistent delivery delays, stock below the reorder point, contracts approaching expiry, and categories over budget. The same underlying situation only raises one alert, so the list does not repeat itself every time the data refreshes.</w:t>
      </w:r>
    </w:p>
    <w:p>
      <w:pPr>
        <w:keepNext/>
        <w:spacing w:before="240" w:after="80"/>
      </w:pPr>
      <w:r>
        <w:rPr>
          <w:b/>
          <w:i w:val="0"/>
          <w:color w:val="2F6EA5"/>
          <w:sz w:val="25"/>
        </w:rPr>
        <w:t>Reports</w:t>
      </w:r>
    </w:p>
    <w:p>
      <w:r>
        <w:rPr>
          <w:b w:val="0"/>
          <w:i w:val="0"/>
        </w:rPr>
        <w:t>Ten reports, each previewing on screen before you export.</w:t>
      </w:r>
    </w:p>
    <w:tbl>
      <w:tblPr>
        <w:tblStyle w:val="TableGrid"/>
        <w:tblW w:type="auto" w:w="0"/>
        <w:jc w:val="center"/>
        <w:tblLook w:firstColumn="1" w:firstRow="1" w:lastColumn="0" w:lastRow="0" w:noHBand="0" w:noVBand="1" w:val="04A0"/>
      </w:tblPr>
      <w:tblGrid>
        <w:gridCol w:w="4986"/>
        <w:gridCol w:w="4986"/>
      </w:tblGrid>
      <w:tr>
        <w:tc>
          <w:tcPr>
            <w:tcW w:type="dxa" w:w="4986"/>
            <w:shd w:val="clear" w:color="auto" w:fill="123A5E"/>
          </w:tcPr>
          <w:p>
            <w:pPr>
              <w:jc w:val="left"/>
            </w:pPr>
            <w:r>
              <w:rPr>
                <w:b/>
                <w:i w:val="0"/>
                <w:color w:val="FFFFFF"/>
                <w:sz w:val="19"/>
              </w:rPr>
              <w:t>Group</w:t>
            </w:r>
          </w:p>
        </w:tc>
        <w:tc>
          <w:tcPr>
            <w:tcW w:type="dxa" w:w="4986"/>
            <w:shd w:val="clear" w:color="auto" w:fill="123A5E"/>
          </w:tcPr>
          <w:p>
            <w:pPr>
              <w:jc w:val="left"/>
            </w:pPr>
            <w:r>
              <w:rPr>
                <w:b/>
                <w:i w:val="0"/>
                <w:color w:val="FFFFFF"/>
                <w:sz w:val="19"/>
              </w:rPr>
              <w:t>Reports</w:t>
            </w:r>
          </w:p>
        </w:tc>
      </w:tr>
      <w:tr>
        <w:tc>
          <w:tcPr>
            <w:tcW w:type="dxa" w:w="4986"/>
          </w:tcPr>
          <w:p>
            <w:pPr>
              <w:jc w:val="left"/>
            </w:pPr>
            <w:r>
              <w:rPr>
                <w:b w:val="0"/>
                <w:i w:val="0"/>
                <w:sz w:val="19"/>
              </w:rPr>
              <w:t>Spend</w:t>
            </w:r>
          </w:p>
        </w:tc>
        <w:tc>
          <w:tcPr>
            <w:tcW w:type="dxa" w:w="4986"/>
          </w:tcPr>
          <w:p>
            <w:pPr>
              <w:jc w:val="left"/>
            </w:pPr>
            <w:r>
              <w:rPr>
                <w:b w:val="0"/>
                <w:i w:val="0"/>
                <w:sz w:val="19"/>
              </w:rPr>
              <w:t>Spend by Category, Spend by Supplier, Spend by Plant, Monthly Spend Trend</w:t>
            </w:r>
          </w:p>
        </w:tc>
      </w:tr>
      <w:tr>
        <w:tc>
          <w:tcPr>
            <w:tcW w:type="dxa" w:w="4986"/>
            <w:shd w:val="clear" w:color="auto" w:fill="F2F5F8"/>
          </w:tcPr>
          <w:p>
            <w:pPr>
              <w:jc w:val="left"/>
            </w:pPr>
            <w:r>
              <w:rPr>
                <w:b w:val="0"/>
                <w:i w:val="0"/>
                <w:sz w:val="19"/>
              </w:rPr>
              <w:t>Value</w:t>
            </w:r>
          </w:p>
        </w:tc>
        <w:tc>
          <w:tcPr>
            <w:tcW w:type="dxa" w:w="4986"/>
            <w:shd w:val="clear" w:color="auto" w:fill="F2F5F8"/>
          </w:tcPr>
          <w:p>
            <w:pPr>
              <w:jc w:val="left"/>
            </w:pPr>
            <w:r>
              <w:rPr>
                <w:b w:val="0"/>
                <w:i w:val="0"/>
                <w:sz w:val="19"/>
              </w:rPr>
              <w:t>Savings Opportunities, Budget Utilisation</w:t>
            </w:r>
          </w:p>
        </w:tc>
      </w:tr>
      <w:tr>
        <w:tc>
          <w:tcPr>
            <w:tcW w:type="dxa" w:w="4986"/>
          </w:tcPr>
          <w:p>
            <w:pPr>
              <w:jc w:val="left"/>
            </w:pPr>
            <w:r>
              <w:rPr>
                <w:b w:val="0"/>
                <w:i w:val="0"/>
                <w:sz w:val="19"/>
              </w:rPr>
              <w:t>Supplier</w:t>
            </w:r>
          </w:p>
        </w:tc>
        <w:tc>
          <w:tcPr>
            <w:tcW w:type="dxa" w:w="4986"/>
          </w:tcPr>
          <w:p>
            <w:pPr>
              <w:jc w:val="left"/>
            </w:pPr>
            <w:r>
              <w:rPr>
                <w:b w:val="0"/>
                <w:i w:val="0"/>
                <w:sz w:val="19"/>
              </w:rPr>
              <w:t>Supplier Scorecard</w:t>
            </w:r>
          </w:p>
        </w:tc>
      </w:tr>
      <w:tr>
        <w:tc>
          <w:tcPr>
            <w:tcW w:type="dxa" w:w="4986"/>
            <w:shd w:val="clear" w:color="auto" w:fill="F2F5F8"/>
          </w:tcPr>
          <w:p>
            <w:pPr>
              <w:jc w:val="left"/>
            </w:pPr>
            <w:r>
              <w:rPr>
                <w:b w:val="0"/>
                <w:i w:val="0"/>
                <w:sz w:val="19"/>
              </w:rPr>
              <w:t>Planning</w:t>
            </w:r>
          </w:p>
        </w:tc>
        <w:tc>
          <w:tcPr>
            <w:tcW w:type="dxa" w:w="4986"/>
            <w:shd w:val="clear" w:color="auto" w:fill="F2F5F8"/>
          </w:tcPr>
          <w:p>
            <w:pPr>
              <w:jc w:val="left"/>
            </w:pPr>
            <w:r>
              <w:rPr>
                <w:b w:val="0"/>
                <w:i w:val="0"/>
                <w:sz w:val="19"/>
              </w:rPr>
              <w:t>Replenishment Plan</w:t>
            </w:r>
          </w:p>
        </w:tc>
      </w:tr>
      <w:tr>
        <w:tc>
          <w:tcPr>
            <w:tcW w:type="dxa" w:w="4986"/>
          </w:tcPr>
          <w:p>
            <w:pPr>
              <w:jc w:val="left"/>
            </w:pPr>
            <w:r>
              <w:rPr>
                <w:b w:val="0"/>
                <w:i w:val="0"/>
                <w:sz w:val="19"/>
              </w:rPr>
              <w:t>Action</w:t>
            </w:r>
          </w:p>
        </w:tc>
        <w:tc>
          <w:tcPr>
            <w:tcW w:type="dxa" w:w="4986"/>
          </w:tcPr>
          <w:p>
            <w:pPr>
              <w:jc w:val="left"/>
            </w:pPr>
            <w:r>
              <w:rPr>
                <w:b w:val="0"/>
                <w:i w:val="0"/>
                <w:sz w:val="19"/>
              </w:rPr>
              <w:t>Insights and Recommendations, Open Alerts</w:t>
            </w:r>
          </w:p>
        </w:tc>
      </w:tr>
    </w:tbl>
    <w:p>
      <w:pPr>
        <w:spacing w:after="40"/>
      </w:pPr>
    </w:p>
    <w:p>
      <w:r>
        <w:rPr>
          <w:b w:val="0"/>
          <w:i w:val="0"/>
        </w:rPr>
        <w:t xml:space="preserve">Choose a report, check the preview, then export as </w:t>
      </w:r>
      <w:r>
        <w:rPr>
          <w:b/>
          <w:i w:val="0"/>
        </w:rPr>
        <w:t>CSV</w:t>
      </w:r>
      <w:r>
        <w:rPr>
          <w:b w:val="0"/>
          <w:i w:val="0"/>
        </w:rPr>
        <w:t xml:space="preserve">, </w:t>
      </w:r>
      <w:r>
        <w:rPr>
          <w:b/>
          <w:i w:val="0"/>
        </w:rPr>
        <w:t>Excel</w:t>
      </w:r>
      <w:r>
        <w:rPr>
          <w:b w:val="0"/>
          <w:i w:val="0"/>
        </w:rPr>
        <w:t xml:space="preserve"> or </w:t>
      </w:r>
      <w:r>
        <w:rPr>
          <w:b/>
          <w:i w:val="0"/>
        </w:rPr>
        <w:t>PDF</w:t>
      </w:r>
      <w:r>
        <w:rPr>
          <w:b w:val="0"/>
          <w:i w:val="0"/>
        </w:rPr>
        <w:t>. The filter bar applies to exports too, so a file always matches what you were looking at. The preview shows the first 100 rows; the export contains every row.</w:t>
      </w:r>
    </w:p>
    <w:p>
      <w:r>
        <w:rPr>
          <w:b w:val="0"/>
          <w:i/>
        </w:rPr>
        <w:t>On a phone, exporting opens the system share sheet, so you can save the file or send it straight on from the app.</w:t>
      </w:r>
    </w:p>
    <w:p>
      <w:pPr>
        <w:keepNext/>
        <w:spacing w:before="240" w:after="80"/>
      </w:pPr>
      <w:r>
        <w:rPr>
          <w:b/>
          <w:i w:val="0"/>
          <w:color w:val="2F6EA5"/>
          <w:sz w:val="25"/>
        </w:rPr>
        <w:t>Administration</w:t>
      </w:r>
    </w:p>
    <w:p>
      <w:r>
        <w:rPr>
          <w:b w:val="0"/>
          <w:i w:val="0"/>
        </w:rPr>
        <w:t>Reserved for the Administrator and Procurement Head: system status, the SAP connectors and their health, the history of ingestion runs with record counts and watermarks, and the audit trail. A delta load or a full reload can be started from here.</w:t>
      </w:r>
    </w:p>
    <w:p>
      <w:r>
        <w:rPr>
          <w:b w:val="0"/>
          <w:i/>
        </w:rPr>
        <w:t>Try this: sign in as the Administrator and trigger a delta load, then watch the run appear in the history with its record counts.</w:t>
      </w:r>
    </w:p>
    <w:p>
      <w:r>
        <w:br w:type="page"/>
      </w:r>
    </w:p>
    <w:p>
      <w:pPr>
        <w:keepNext/>
        <w:pBdr>
          <w:bottom w:val="single" w:sz="12" w:space="4" w:color="B8860B"/>
        </w:pBdr>
        <w:spacing w:before="80" w:after="160"/>
      </w:pPr>
      <w:r>
        <w:rPr>
          <w:b/>
          <w:i w:val="0"/>
          <w:color w:val="123A5E"/>
          <w:sz w:val="32"/>
        </w:rPr>
        <w:t>6. Asking the AI Copilot</w:t>
      </w:r>
    </w:p>
    <w:p>
      <w:r>
        <w:rPr>
          <w:b w:val="0"/>
          <w:i w:val="0"/>
        </w:rPr>
        <w:t>Type a question and press enter. Every answer is produced from the data in the platform rather than from a language model's memory, and each one shows which records it used and which question it matched, so you can check its working. Suggested questions appear as chips when the page opens and after each answer.</w:t>
      </w:r>
    </w:p>
    <w:tbl>
      <w:tblPr>
        <w:tblStyle w:val="TableGrid"/>
        <w:tblW w:type="auto" w:w="0"/>
        <w:jc w:val="center"/>
        <w:tblLook w:firstColumn="1" w:firstRow="1" w:lastColumn="0" w:lastRow="0" w:noHBand="0" w:noVBand="1" w:val="04A0"/>
      </w:tblPr>
      <w:tblGrid>
        <w:gridCol w:w="4986"/>
        <w:gridCol w:w="4986"/>
      </w:tblGrid>
      <w:tr>
        <w:tc>
          <w:tcPr>
            <w:tcW w:type="dxa" w:w="4986"/>
            <w:shd w:val="clear" w:color="auto" w:fill="123A5E"/>
          </w:tcPr>
          <w:p>
            <w:pPr>
              <w:jc w:val="left"/>
            </w:pPr>
            <w:r>
              <w:rPr>
                <w:b/>
                <w:i w:val="0"/>
                <w:color w:val="FFFFFF"/>
                <w:sz w:val="19"/>
              </w:rPr>
              <w:t>Ask about</w:t>
            </w:r>
          </w:p>
        </w:tc>
        <w:tc>
          <w:tcPr>
            <w:tcW w:type="dxa" w:w="4986"/>
            <w:shd w:val="clear" w:color="auto" w:fill="123A5E"/>
          </w:tcPr>
          <w:p>
            <w:pPr>
              <w:jc w:val="left"/>
            </w:pPr>
            <w:r>
              <w:rPr>
                <w:b/>
                <w:i w:val="0"/>
                <w:color w:val="FFFFFF"/>
                <w:sz w:val="19"/>
              </w:rPr>
              <w:t>Try</w:t>
            </w:r>
          </w:p>
        </w:tc>
      </w:tr>
      <w:tr>
        <w:tc>
          <w:tcPr>
            <w:tcW w:type="dxa" w:w="4986"/>
          </w:tcPr>
          <w:p>
            <w:pPr>
              <w:jc w:val="left"/>
            </w:pPr>
            <w:r>
              <w:rPr>
                <w:b w:val="0"/>
                <w:i w:val="0"/>
                <w:sz w:val="19"/>
              </w:rPr>
              <w:t>Total spend</w:t>
            </w:r>
          </w:p>
        </w:tc>
        <w:tc>
          <w:tcPr>
            <w:tcW w:type="dxa" w:w="4986"/>
          </w:tcPr>
          <w:p>
            <w:pPr>
              <w:jc w:val="left"/>
            </w:pPr>
            <w:r>
              <w:rPr>
                <w:b w:val="0"/>
                <w:i w:val="0"/>
                <w:sz w:val="19"/>
              </w:rPr>
              <w:t>"What is our total spend?"</w:t>
            </w:r>
          </w:p>
        </w:tc>
      </w:tr>
      <w:tr>
        <w:tc>
          <w:tcPr>
            <w:tcW w:type="dxa" w:w="4986"/>
            <w:shd w:val="clear" w:color="auto" w:fill="F2F5F8"/>
          </w:tcPr>
          <w:p>
            <w:pPr>
              <w:jc w:val="left"/>
            </w:pPr>
            <w:r>
              <w:rPr>
                <w:b w:val="0"/>
                <w:i w:val="0"/>
                <w:sz w:val="19"/>
              </w:rPr>
              <w:t>Category breakdown</w:t>
            </w:r>
          </w:p>
        </w:tc>
        <w:tc>
          <w:tcPr>
            <w:tcW w:type="dxa" w:w="4986"/>
            <w:shd w:val="clear" w:color="auto" w:fill="F2F5F8"/>
          </w:tcPr>
          <w:p>
            <w:pPr>
              <w:jc w:val="left"/>
            </w:pPr>
            <w:r>
              <w:rPr>
                <w:b w:val="0"/>
                <w:i w:val="0"/>
                <w:sz w:val="19"/>
              </w:rPr>
              <w:t>"Which category costs the most?"</w:t>
            </w:r>
          </w:p>
        </w:tc>
      </w:tr>
      <w:tr>
        <w:tc>
          <w:tcPr>
            <w:tcW w:type="dxa" w:w="4986"/>
          </w:tcPr>
          <w:p>
            <w:pPr>
              <w:jc w:val="left"/>
            </w:pPr>
            <w:r>
              <w:rPr>
                <w:b w:val="0"/>
                <w:i w:val="0"/>
                <w:sz w:val="19"/>
              </w:rPr>
              <w:t>Top suppliers</w:t>
            </w:r>
          </w:p>
        </w:tc>
        <w:tc>
          <w:tcPr>
            <w:tcW w:type="dxa" w:w="4986"/>
          </w:tcPr>
          <w:p>
            <w:pPr>
              <w:jc w:val="left"/>
            </w:pPr>
            <w:r>
              <w:rPr>
                <w:b w:val="0"/>
                <w:i w:val="0"/>
                <w:sz w:val="19"/>
              </w:rPr>
              <w:t>"Who are our top vendors?"</w:t>
            </w:r>
          </w:p>
        </w:tc>
      </w:tr>
      <w:tr>
        <w:tc>
          <w:tcPr>
            <w:tcW w:type="dxa" w:w="4986"/>
            <w:shd w:val="clear" w:color="auto" w:fill="F2F5F8"/>
          </w:tcPr>
          <w:p>
            <w:pPr>
              <w:jc w:val="left"/>
            </w:pPr>
            <w:r>
              <w:rPr>
                <w:b w:val="0"/>
                <w:i w:val="0"/>
                <w:sz w:val="19"/>
              </w:rPr>
              <w:t>Spend by plant</w:t>
            </w:r>
          </w:p>
        </w:tc>
        <w:tc>
          <w:tcPr>
            <w:tcW w:type="dxa" w:w="4986"/>
            <w:shd w:val="clear" w:color="auto" w:fill="F2F5F8"/>
          </w:tcPr>
          <w:p>
            <w:pPr>
              <w:jc w:val="left"/>
            </w:pPr>
            <w:r>
              <w:rPr>
                <w:b w:val="0"/>
                <w:i w:val="0"/>
                <w:sz w:val="19"/>
              </w:rPr>
              <w:t>"Which plant spends most?"</w:t>
            </w:r>
          </w:p>
        </w:tc>
      </w:tr>
      <w:tr>
        <w:tc>
          <w:tcPr>
            <w:tcW w:type="dxa" w:w="4986"/>
          </w:tcPr>
          <w:p>
            <w:pPr>
              <w:jc w:val="left"/>
            </w:pPr>
            <w:r>
              <w:rPr>
                <w:b w:val="0"/>
                <w:i w:val="0"/>
                <w:sz w:val="19"/>
              </w:rPr>
              <w:t>Spend over time</w:t>
            </w:r>
          </w:p>
        </w:tc>
        <w:tc>
          <w:tcPr>
            <w:tcW w:type="dxa" w:w="4986"/>
          </w:tcPr>
          <w:p>
            <w:pPr>
              <w:jc w:val="left"/>
            </w:pPr>
            <w:r>
              <w:rPr>
                <w:b w:val="0"/>
                <w:i w:val="0"/>
                <w:sz w:val="19"/>
              </w:rPr>
              <w:t>"What is the spend trend?"</w:t>
            </w:r>
          </w:p>
        </w:tc>
      </w:tr>
      <w:tr>
        <w:tc>
          <w:tcPr>
            <w:tcW w:type="dxa" w:w="4986"/>
            <w:shd w:val="clear" w:color="auto" w:fill="F2F5F8"/>
          </w:tcPr>
          <w:p>
            <w:pPr>
              <w:jc w:val="left"/>
            </w:pPr>
            <w:r>
              <w:rPr>
                <w:b w:val="0"/>
                <w:i w:val="0"/>
                <w:sz w:val="19"/>
              </w:rPr>
              <w:t>Savings</w:t>
            </w:r>
          </w:p>
        </w:tc>
        <w:tc>
          <w:tcPr>
            <w:tcW w:type="dxa" w:w="4986"/>
            <w:shd w:val="clear" w:color="auto" w:fill="F2F5F8"/>
          </w:tcPr>
          <w:p>
            <w:pPr>
              <w:jc w:val="left"/>
            </w:pPr>
            <w:r>
              <w:rPr>
                <w:b w:val="0"/>
                <w:i w:val="0"/>
                <w:sz w:val="19"/>
              </w:rPr>
              <w:t>"Where can we save money?"</w:t>
            </w:r>
          </w:p>
        </w:tc>
      </w:tr>
      <w:tr>
        <w:tc>
          <w:tcPr>
            <w:tcW w:type="dxa" w:w="4986"/>
          </w:tcPr>
          <w:p>
            <w:pPr>
              <w:jc w:val="left"/>
            </w:pPr>
            <w:r>
              <w:rPr>
                <w:b w:val="0"/>
                <w:i w:val="0"/>
                <w:sz w:val="19"/>
              </w:rPr>
              <w:t>Contract compliance</w:t>
            </w:r>
          </w:p>
        </w:tc>
        <w:tc>
          <w:tcPr>
            <w:tcW w:type="dxa" w:w="4986"/>
          </w:tcPr>
          <w:p>
            <w:pPr>
              <w:jc w:val="left"/>
            </w:pPr>
            <w:r>
              <w:rPr>
                <w:b w:val="0"/>
                <w:i w:val="0"/>
                <w:sz w:val="19"/>
              </w:rPr>
              <w:t>"How much is maverick spend?"</w:t>
            </w:r>
          </w:p>
        </w:tc>
      </w:tr>
      <w:tr>
        <w:tc>
          <w:tcPr>
            <w:tcW w:type="dxa" w:w="4986"/>
            <w:shd w:val="clear" w:color="auto" w:fill="F2F5F8"/>
          </w:tcPr>
          <w:p>
            <w:pPr>
              <w:jc w:val="left"/>
            </w:pPr>
            <w:r>
              <w:rPr>
                <w:b w:val="0"/>
                <w:i w:val="0"/>
                <w:sz w:val="19"/>
              </w:rPr>
              <w:t>Budget</w:t>
            </w:r>
          </w:p>
        </w:tc>
        <w:tc>
          <w:tcPr>
            <w:tcW w:type="dxa" w:w="4986"/>
            <w:shd w:val="clear" w:color="auto" w:fill="F2F5F8"/>
          </w:tcPr>
          <w:p>
            <w:pPr>
              <w:jc w:val="left"/>
            </w:pPr>
            <w:r>
              <w:rPr>
                <w:b w:val="0"/>
                <w:i w:val="0"/>
                <w:sz w:val="19"/>
              </w:rPr>
              <w:t>"Are we over budget?"</w:t>
            </w:r>
          </w:p>
        </w:tc>
      </w:tr>
      <w:tr>
        <w:tc>
          <w:tcPr>
            <w:tcW w:type="dxa" w:w="4986"/>
          </w:tcPr>
          <w:p>
            <w:pPr>
              <w:jc w:val="left"/>
            </w:pPr>
            <w:r>
              <w:rPr>
                <w:b w:val="0"/>
                <w:i w:val="0"/>
                <w:sz w:val="19"/>
              </w:rPr>
              <w:t>Cycle time</w:t>
            </w:r>
          </w:p>
        </w:tc>
        <w:tc>
          <w:tcPr>
            <w:tcW w:type="dxa" w:w="4986"/>
          </w:tcPr>
          <w:p>
            <w:pPr>
              <w:jc w:val="left"/>
            </w:pPr>
            <w:r>
              <w:rPr>
                <w:b w:val="0"/>
                <w:i w:val="0"/>
                <w:sz w:val="19"/>
              </w:rPr>
              <w:t>"How long does procurement take?"</w:t>
            </w:r>
          </w:p>
        </w:tc>
      </w:tr>
      <w:tr>
        <w:tc>
          <w:tcPr>
            <w:tcW w:type="dxa" w:w="4986"/>
            <w:shd w:val="clear" w:color="auto" w:fill="F2F5F8"/>
          </w:tcPr>
          <w:p>
            <w:pPr>
              <w:jc w:val="left"/>
            </w:pPr>
            <w:r>
              <w:rPr>
                <w:b w:val="0"/>
                <w:i w:val="0"/>
                <w:sz w:val="19"/>
              </w:rPr>
              <w:t>Supplier ranking</w:t>
            </w:r>
          </w:p>
        </w:tc>
        <w:tc>
          <w:tcPr>
            <w:tcW w:type="dxa" w:w="4986"/>
            <w:shd w:val="clear" w:color="auto" w:fill="F2F5F8"/>
          </w:tcPr>
          <w:p>
            <w:pPr>
              <w:jc w:val="left"/>
            </w:pPr>
            <w:r>
              <w:rPr>
                <w:b w:val="0"/>
                <w:i w:val="0"/>
                <w:sz w:val="19"/>
              </w:rPr>
              <w:t>"Who is our best supplier?"</w:t>
            </w:r>
          </w:p>
        </w:tc>
      </w:tr>
      <w:tr>
        <w:tc>
          <w:tcPr>
            <w:tcW w:type="dxa" w:w="4986"/>
          </w:tcPr>
          <w:p>
            <w:pPr>
              <w:jc w:val="left"/>
            </w:pPr>
            <w:r>
              <w:rPr>
                <w:b w:val="0"/>
                <w:i w:val="0"/>
                <w:sz w:val="19"/>
              </w:rPr>
              <w:t>Supplier risk</w:t>
            </w:r>
          </w:p>
        </w:tc>
        <w:tc>
          <w:tcPr>
            <w:tcW w:type="dxa" w:w="4986"/>
          </w:tcPr>
          <w:p>
            <w:pPr>
              <w:jc w:val="left"/>
            </w:pPr>
            <w:r>
              <w:rPr>
                <w:b w:val="0"/>
                <w:i w:val="0"/>
                <w:sz w:val="19"/>
              </w:rPr>
              <w:t>"Which suppliers are risky?"</w:t>
            </w:r>
          </w:p>
        </w:tc>
      </w:tr>
      <w:tr>
        <w:tc>
          <w:tcPr>
            <w:tcW w:type="dxa" w:w="4986"/>
            <w:shd w:val="clear" w:color="auto" w:fill="F2F5F8"/>
          </w:tcPr>
          <w:p>
            <w:pPr>
              <w:jc w:val="left"/>
            </w:pPr>
            <w:r>
              <w:rPr>
                <w:b w:val="0"/>
                <w:i w:val="0"/>
                <w:sz w:val="19"/>
              </w:rPr>
              <w:t>One supplier in detail</w:t>
            </w:r>
          </w:p>
        </w:tc>
        <w:tc>
          <w:tcPr>
            <w:tcW w:type="dxa" w:w="4986"/>
            <w:shd w:val="clear" w:color="auto" w:fill="F2F5F8"/>
          </w:tcPr>
          <w:p>
            <w:pPr>
              <w:jc w:val="left"/>
            </w:pPr>
            <w:r>
              <w:rPr>
                <w:b w:val="0"/>
                <w:i w:val="0"/>
                <w:sz w:val="19"/>
              </w:rPr>
              <w:t>"Tell me about Bharat Industries"</w:t>
            </w:r>
          </w:p>
        </w:tc>
      </w:tr>
      <w:tr>
        <w:tc>
          <w:tcPr>
            <w:tcW w:type="dxa" w:w="4986"/>
          </w:tcPr>
          <w:p>
            <w:pPr>
              <w:jc w:val="left"/>
            </w:pPr>
            <w:r>
              <w:rPr>
                <w:b w:val="0"/>
                <w:i w:val="0"/>
                <w:sz w:val="19"/>
              </w:rPr>
              <w:t>Price movement</w:t>
            </w:r>
          </w:p>
        </w:tc>
        <w:tc>
          <w:tcPr>
            <w:tcW w:type="dxa" w:w="4986"/>
          </w:tcPr>
          <w:p>
            <w:pPr>
              <w:jc w:val="left"/>
            </w:pPr>
            <w:r>
              <w:rPr>
                <w:b w:val="0"/>
                <w:i w:val="0"/>
                <w:sz w:val="19"/>
              </w:rPr>
              <w:t>"Which suppliers raised prices?"</w:t>
            </w:r>
          </w:p>
        </w:tc>
      </w:tr>
      <w:tr>
        <w:tc>
          <w:tcPr>
            <w:tcW w:type="dxa" w:w="4986"/>
            <w:shd w:val="clear" w:color="auto" w:fill="F2F5F8"/>
          </w:tcPr>
          <w:p>
            <w:pPr>
              <w:jc w:val="left"/>
            </w:pPr>
            <w:r>
              <w:rPr>
                <w:b w:val="0"/>
                <w:i w:val="0"/>
                <w:sz w:val="19"/>
              </w:rPr>
              <w:t>Demand and reordering</w:t>
            </w:r>
          </w:p>
        </w:tc>
        <w:tc>
          <w:tcPr>
            <w:tcW w:type="dxa" w:w="4986"/>
            <w:shd w:val="clear" w:color="auto" w:fill="F2F5F8"/>
          </w:tcPr>
          <w:p>
            <w:pPr>
              <w:jc w:val="left"/>
            </w:pPr>
            <w:r>
              <w:rPr>
                <w:b w:val="0"/>
                <w:i w:val="0"/>
                <w:sz w:val="19"/>
              </w:rPr>
              <w:t>"What should we reorder?"</w:t>
            </w:r>
          </w:p>
        </w:tc>
      </w:tr>
      <w:tr>
        <w:tc>
          <w:tcPr>
            <w:tcW w:type="dxa" w:w="4986"/>
          </w:tcPr>
          <w:p>
            <w:pPr>
              <w:jc w:val="left"/>
            </w:pPr>
            <w:r>
              <w:rPr>
                <w:b w:val="0"/>
                <w:i w:val="0"/>
                <w:sz w:val="19"/>
              </w:rPr>
              <w:t>Contract renewals</w:t>
            </w:r>
          </w:p>
        </w:tc>
        <w:tc>
          <w:tcPr>
            <w:tcW w:type="dxa" w:w="4986"/>
          </w:tcPr>
          <w:p>
            <w:pPr>
              <w:jc w:val="left"/>
            </w:pPr>
            <w:r>
              <w:rPr>
                <w:b w:val="0"/>
                <w:i w:val="0"/>
                <w:sz w:val="19"/>
              </w:rPr>
              <w:t>"Which contracts expire soon?"</w:t>
            </w:r>
          </w:p>
        </w:tc>
      </w:tr>
      <w:tr>
        <w:tc>
          <w:tcPr>
            <w:tcW w:type="dxa" w:w="4986"/>
            <w:shd w:val="clear" w:color="auto" w:fill="F2F5F8"/>
          </w:tcPr>
          <w:p>
            <w:pPr>
              <w:jc w:val="left"/>
            </w:pPr>
            <w:r>
              <w:rPr>
                <w:b w:val="0"/>
                <w:i w:val="0"/>
                <w:sz w:val="19"/>
              </w:rPr>
              <w:t>Open alerts</w:t>
            </w:r>
          </w:p>
        </w:tc>
        <w:tc>
          <w:tcPr>
            <w:tcW w:type="dxa" w:w="4986"/>
            <w:shd w:val="clear" w:color="auto" w:fill="F2F5F8"/>
          </w:tcPr>
          <w:p>
            <w:pPr>
              <w:jc w:val="left"/>
            </w:pPr>
            <w:r>
              <w:rPr>
                <w:b w:val="0"/>
                <w:i w:val="0"/>
                <w:sz w:val="19"/>
              </w:rPr>
              <w:t>"Show me critical issues"</w:t>
            </w:r>
          </w:p>
        </w:tc>
      </w:tr>
      <w:tr>
        <w:tc>
          <w:tcPr>
            <w:tcW w:type="dxa" w:w="4986"/>
          </w:tcPr>
          <w:p>
            <w:pPr>
              <w:jc w:val="left"/>
            </w:pPr>
            <w:r>
              <w:rPr>
                <w:b w:val="0"/>
                <w:i w:val="0"/>
                <w:sz w:val="19"/>
              </w:rPr>
              <w:t>Recommendations</w:t>
            </w:r>
          </w:p>
        </w:tc>
        <w:tc>
          <w:tcPr>
            <w:tcW w:type="dxa" w:w="4986"/>
          </w:tcPr>
          <w:p>
            <w:pPr>
              <w:jc w:val="left"/>
            </w:pPr>
            <w:r>
              <w:rPr>
                <w:b w:val="0"/>
                <w:i w:val="0"/>
                <w:sz w:val="19"/>
              </w:rPr>
              <w:t>"What should I do?"</w:t>
            </w:r>
          </w:p>
        </w:tc>
      </w:tr>
      <w:tr>
        <w:tc>
          <w:tcPr>
            <w:tcW w:type="dxa" w:w="4986"/>
            <w:shd w:val="clear" w:color="auto" w:fill="F2F5F8"/>
          </w:tcPr>
          <w:p>
            <w:pPr>
              <w:jc w:val="left"/>
            </w:pPr>
            <w:r>
              <w:rPr>
                <w:b w:val="0"/>
                <w:i w:val="0"/>
                <w:sz w:val="19"/>
              </w:rPr>
              <w:t>Materials</w:t>
            </w:r>
          </w:p>
        </w:tc>
        <w:tc>
          <w:tcPr>
            <w:tcW w:type="dxa" w:w="4986"/>
            <w:shd w:val="clear" w:color="auto" w:fill="F2F5F8"/>
          </w:tcPr>
          <w:p>
            <w:pPr>
              <w:jc w:val="left"/>
            </w:pPr>
            <w:r>
              <w:rPr>
                <w:b w:val="0"/>
                <w:i w:val="0"/>
                <w:sz w:val="19"/>
              </w:rPr>
              <w:t>"Which materials cost the most?"</w:t>
            </w:r>
          </w:p>
        </w:tc>
      </w:tr>
    </w:tbl>
    <w:p>
      <w:pPr>
        <w:spacing w:after="40"/>
      </w:pPr>
    </w:p>
    <w:p>
      <w:r>
        <w:rPr>
          <w:b w:val="0"/>
          <w:i w:val="0"/>
        </w:rPr>
        <w:t>Some things it will deliberately not do, which are worth testing precisely because they are the failure modes that matter: it will not write anything back to the database, it will not answer questions outside procurement, and it will not invent a supplier or material that does not exist. Ask about one it cannot find and it tells you so rather than guessing. Spend trends leave out the current, part-finished month so an incomplete month never looks like a collapse.</w:t>
      </w:r>
    </w:p>
    <w:p>
      <w:r>
        <w:br w:type="page"/>
      </w:r>
    </w:p>
    <w:p>
      <w:pPr>
        <w:keepNext/>
        <w:pBdr>
          <w:bottom w:val="single" w:sz="12" w:space="4" w:color="B8860B"/>
        </w:pBdr>
        <w:spacing w:before="80" w:after="160"/>
      </w:pPr>
      <w:r>
        <w:rPr>
          <w:b/>
          <w:i w:val="0"/>
          <w:color w:val="123A5E"/>
          <w:sz w:val="32"/>
        </w:rPr>
        <w:t>7. On Your Phone</w:t>
      </w:r>
    </w:p>
    <w:p>
      <w:r>
        <w:rPr>
          <w:b w:val="0"/>
          <w:i w:val="0"/>
        </w:rPr>
        <w:t>The apps carry every page described above. Two things work better there than in a browser:</w:t>
      </w:r>
    </w:p>
    <w:p>
      <w:pPr>
        <w:pStyle w:val="ListBullet"/>
        <w:spacing w:after="40"/>
      </w:pPr>
      <w:r>
        <w:rPr>
          <w:b/>
          <w:i w:val="0"/>
        </w:rPr>
        <w:t>Report exports</w:t>
      </w:r>
      <w:r>
        <w:rPr>
          <w:b w:val="0"/>
          <w:i w:val="0"/>
        </w:rPr>
        <w:t xml:space="preserve"> open the system share sheet, so a file can go to Files,</w:t>
      </w:r>
    </w:p>
    <w:p>
      <w:r>
        <w:rPr>
          <w:b w:val="0"/>
          <w:i w:val="0"/>
        </w:rPr>
        <w:t>Drive, email or a colleague without leaving the app.</w:t>
      </w:r>
    </w:p>
    <w:p>
      <w:pPr>
        <w:pStyle w:val="ListBullet"/>
        <w:spacing w:after="40"/>
      </w:pPr>
      <w:r>
        <w:rPr>
          <w:b/>
          <w:i w:val="0"/>
        </w:rPr>
        <w:t>Staying signed in.</w:t>
      </w:r>
      <w:r>
        <w:rPr>
          <w:b w:val="0"/>
          <w:i w:val="0"/>
        </w:rPr>
        <w:t xml:space="preserve"> The session renews each time you open the app, so the</w:t>
      </w:r>
    </w:p>
    <w:p>
      <w:r>
        <w:rPr>
          <w:b w:val="0"/>
          <w:i w:val="0"/>
        </w:rPr>
        <w:t>platform behaves like any other business app on the phone rather than asking you to sign in again.</w:t>
      </w:r>
    </w:p>
    <w:p>
      <w:r>
        <w:rPr>
          <w:b/>
          <w:i w:val="0"/>
        </w:rPr>
        <w:t>Alert notifications are built but not switched on in this trial.</w:t>
      </w:r>
      <w:r>
        <w:rPr>
          <w:b w:val="0"/>
          <w:i w:val="0"/>
        </w:rPr>
        <w:t xml:space="preserve"> They require a Firebase project to be created for your organisation, which is a deployment step rather than a development one. Until then, alerts are on the Alerts page as usual. Once enabled, critical and high alerts arrive as notifications and tapping one opens the Alerts page; routine alerts stay on email, and a batch raised at once arrives as a single summary rather than a string of buzzes.</w:t>
      </w:r>
    </w:p>
    <w:p>
      <w:r>
        <w:br w:type="page"/>
      </w:r>
    </w:p>
    <w:p>
      <w:pPr>
        <w:keepNext/>
        <w:pBdr>
          <w:bottom w:val="single" w:sz="12" w:space="4" w:color="B8860B"/>
        </w:pBdr>
        <w:spacing w:before="80" w:after="160"/>
      </w:pPr>
      <w:r>
        <w:rPr>
          <w:b/>
          <w:i w:val="0"/>
          <w:color w:val="123A5E"/>
          <w:sz w:val="32"/>
        </w:rPr>
        <w:t>8. If Something Looks Wrong</w:t>
      </w:r>
    </w:p>
    <w:p>
      <w:r>
        <w:rPr>
          <w:b/>
          <w:i w:val="0"/>
        </w:rPr>
        <w:t>Every number is zero, or pages look empty.</w:t>
      </w:r>
      <w:r>
        <w:rPr>
          <w:b w:val="0"/>
          <w:i w:val="0"/>
        </w:rPr>
        <w:t xml:space="preserve"> Check the banner at the top. If it says the data is loading, wait — a first load takes a few minutes and the figures appear on their own. If it says no data has been loaded, an Administrator needs to start an ingestion run from the Administration page.</w:t>
      </w:r>
    </w:p>
    <w:p>
      <w:r>
        <w:rPr>
          <w:b/>
          <w:i w:val="0"/>
        </w:rPr>
        <w:t>A page says it is not available for your role.</w:t>
      </w:r>
      <w:r>
        <w:rPr>
          <w:b w:val="0"/>
          <w:i w:val="0"/>
        </w:rPr>
        <w:t xml:space="preserve"> That page needs a permission your account does not hold. The table in section 3 shows which role would.</w:t>
      </w:r>
    </w:p>
    <w:p>
      <w:r>
        <w:rPr>
          <w:b/>
          <w:i w:val="0"/>
        </w:rPr>
        <w:t>You were signed out unexpectedly.</w:t>
      </w:r>
      <w:r>
        <w:rPr>
          <w:b w:val="0"/>
          <w:i w:val="0"/>
        </w:rPr>
        <w:t xml:space="preserve"> Web sessions last 12 hours. Sign in again.</w:t>
      </w:r>
    </w:p>
    <w:p>
      <w:r>
        <w:rPr>
          <w:b/>
          <w:i w:val="0"/>
        </w:rPr>
        <w:t>An export will not download.</w:t>
      </w:r>
      <w:r>
        <w:rPr>
          <w:b w:val="0"/>
          <w:i w:val="0"/>
        </w:rPr>
        <w:t xml:space="preserve"> Large exports take a moment to build and the button reads "Preparing" while it works. If it fails, narrow the filters and try again.</w:t>
      </w:r>
    </w:p>
    <w:p>
      <w:r>
        <w:rPr>
          <w:b/>
          <w:i w:val="0"/>
        </w:rPr>
        <w:t>The copilot says it cannot answer.</w:t>
      </w:r>
      <w:r>
        <w:rPr>
          <w:b w:val="0"/>
          <w:i w:val="0"/>
        </w:rPr>
        <w:t xml:space="preserve"> Rephrase using the wording in section 6, or click one of the suggested questions. It matches on intent, so "suppliers by risk" works where a colloquial phrasing may not.</w:t>
      </w:r>
    </w:p>
    <w:p>
      <w:r>
        <w:rPr>
          <w:b/>
          <w:i w:val="0"/>
        </w:rPr>
        <w:t>A number disagrees with SAP.</w:t>
      </w:r>
      <w:r>
        <w:rPr>
          <w:b w:val="0"/>
          <w:i w:val="0"/>
        </w:rPr>
        <w:t xml:space="preserve"> Check the filter bar first. Period, company code, plant and category all restrict what you are looking at, and the chip on the right tells you the date the data currently runs to.</w:t>
      </w:r>
    </w:p>
    <w:p>
      <w:r>
        <w:rPr>
          <w:b/>
          <w:i w:val="0"/>
        </w:rPr>
        <w:t>The mobile app will not sign in.</w:t>
      </w:r>
      <w:r>
        <w:rPr>
          <w:b w:val="0"/>
          <w:i w:val="0"/>
        </w:rPr>
        <w:t xml:space="preserve"> Confirm the phone has internet access, then check the same credentials work in a browser. If the browser works and the app does not, you are likely on an older build — ask for the current APK or TestFlight version.</w:t>
      </w:r>
    </w:p>
    <w:p>
      <w:r>
        <w:br w:type="page"/>
      </w:r>
    </w:p>
    <w:p>
      <w:pPr>
        <w:keepNext/>
        <w:pBdr>
          <w:bottom w:val="single" w:sz="12" w:space="4" w:color="B8860B"/>
        </w:pBdr>
        <w:spacing w:before="80" w:after="160"/>
      </w:pPr>
      <w:r>
        <w:rPr>
          <w:b/>
          <w:i w:val="0"/>
          <w:color w:val="123A5E"/>
          <w:sz w:val="32"/>
        </w:rPr>
        <w:t>9. Moving Beyond the Trial</w:t>
      </w:r>
    </w:p>
    <w:p>
      <w:r>
        <w:rPr>
          <w:b w:val="0"/>
          <w:i w:val="0"/>
        </w:rPr>
        <w:t>Three things change when this stops being an evaluation:</w:t>
      </w:r>
    </w:p>
    <w:p>
      <w:pPr>
        <w:pStyle w:val="ListNumber"/>
        <w:spacing w:after="40"/>
      </w:pPr>
      <w:r>
        <w:rPr>
          <w:b/>
          <w:i w:val="0"/>
        </w:rPr>
        <w:t>The accounts in section 3 are deleted.</w:t>
      </w:r>
      <w:r>
        <w:rPr>
          <w:b w:val="0"/>
          <w:i w:val="0"/>
        </w:rPr>
        <w:t xml:space="preserve"> Real users are provisioned through</w:t>
      </w:r>
    </w:p>
    <w:p>
      <w:r>
        <w:rPr>
          <w:b w:val="0"/>
          <w:i w:val="0"/>
        </w:rPr>
        <w:t>your identity provider, keeping the same six roles or a set matched to your own structure.</w:t>
      </w:r>
    </w:p>
    <w:p>
      <w:pPr>
        <w:pStyle w:val="ListNumber"/>
        <w:spacing w:after="40"/>
      </w:pPr>
      <w:r>
        <w:rPr>
          <w:b/>
          <w:i w:val="0"/>
        </w:rPr>
        <w:t>The synthetic data is replaced</w:t>
      </w:r>
      <w:r>
        <w:rPr>
          <w:b w:val="0"/>
          <w:i w:val="0"/>
        </w:rPr>
        <w:t xml:space="preserve"> by a connection to your SAP ECC or</w:t>
      </w:r>
    </w:p>
    <w:p>
      <w:r>
        <w:rPr>
          <w:b w:val="0"/>
          <w:i w:val="0"/>
        </w:rPr>
        <w:t>S/4HANA system, loading on a schedule with delta runs.</w:t>
      </w:r>
    </w:p>
    <w:p>
      <w:pPr>
        <w:pStyle w:val="ListNumber"/>
        <w:spacing w:after="40"/>
      </w:pPr>
      <w:r>
        <w:rPr>
          <w:b/>
          <w:i w:val="0"/>
        </w:rPr>
        <w:t>Notifications are switched on</w:t>
      </w:r>
      <w:r>
        <w:rPr>
          <w:b w:val="0"/>
          <w:i w:val="0"/>
        </w:rPr>
        <w:t>, which needs a Firebase project registered</w:t>
      </w:r>
    </w:p>
    <w:p>
      <w:r>
        <w:rPr>
          <w:b w:val="0"/>
          <w:i w:val="0"/>
        </w:rPr>
        <w:t>to your organisation and, for iPhones, an Apple push key.</w:t>
      </w:r>
    </w:p>
    <w:p>
      <w:r>
        <w:rPr>
          <w:b w:val="0"/>
          <w:i w:val="0"/>
        </w:rPr>
        <w:t>Everything else — the pages, the reports, the copilot, the alert rules — behaves exactly as it does in this trial.</w:t>
      </w:r>
    </w:p>
    <w:sectPr w:rsidR="00FC693F" w:rsidRPr="0006063C" w:rsidSect="00034616">
      <w:footerReference w:type="default" r:id="rId9"/>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B7D"/>
        <w:sz w:val="17"/>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eastAsia="Calibri"/>
      <w:color w:val="1C25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